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C355E" w14:textId="605BA156" w:rsidR="00557E42" w:rsidRPr="00EF223B" w:rsidRDefault="00EF223B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18"/>
          <w:szCs w:val="18"/>
        </w:rPr>
      </w:pPr>
      <w:r w:rsidRPr="00EF223B">
        <w:rPr>
          <w:noProof/>
          <w:color w:val="000080"/>
          <w:sz w:val="16"/>
          <w:szCs w:val="14"/>
        </w:rPr>
        <w:drawing>
          <wp:anchor distT="0" distB="0" distL="114300" distR="114300" simplePos="0" relativeHeight="251657728" behindDoc="0" locked="0" layoutInCell="1" allowOverlap="1" wp14:anchorId="6D73A2FC" wp14:editId="40D5AD06">
            <wp:simplePos x="0" y="0"/>
            <wp:positionH relativeFrom="column">
              <wp:posOffset>60960</wp:posOffset>
            </wp:positionH>
            <wp:positionV relativeFrom="paragraph">
              <wp:posOffset>2540</wp:posOffset>
            </wp:positionV>
            <wp:extent cx="572770" cy="6972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42" w:rsidRPr="00EF223B">
        <w:rPr>
          <w:rFonts w:ascii="Book Antiqua" w:hAnsi="Book Antiqua"/>
          <w:b/>
          <w:color w:val="000080"/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557E42" w:rsidRPr="00EF223B">
            <w:rPr>
              <w:rFonts w:ascii="Book Antiqua" w:hAnsi="Book Antiqua"/>
              <w:b/>
              <w:color w:val="000080"/>
              <w:sz w:val="18"/>
              <w:szCs w:val="18"/>
            </w:rPr>
            <w:t>University</w:t>
          </w:r>
        </w:smartTag>
        <w:r w:rsidR="00557E42" w:rsidRPr="00EF223B">
          <w:rPr>
            <w:rFonts w:ascii="Book Antiqua" w:hAnsi="Book Antiqua"/>
            <w:b/>
            <w:color w:val="000080"/>
            <w:sz w:val="18"/>
            <w:szCs w:val="18"/>
          </w:rPr>
          <w:t xml:space="preserve"> of </w:t>
        </w:r>
        <w:smartTag w:uri="urn:schemas-microsoft-com:office:smarttags" w:element="PlaceName">
          <w:r w:rsidR="00557E42" w:rsidRPr="00EF223B">
            <w:rPr>
              <w:rFonts w:ascii="Book Antiqua" w:hAnsi="Book Antiqua"/>
              <w:b/>
              <w:color w:val="000080"/>
              <w:sz w:val="18"/>
              <w:szCs w:val="18"/>
            </w:rPr>
            <w:t>Mississippi</w:t>
          </w:r>
        </w:smartTag>
      </w:smartTag>
    </w:p>
    <w:p w14:paraId="2D283D81" w14:textId="77777777" w:rsidR="00557E42" w:rsidRPr="00EF223B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18"/>
          <w:szCs w:val="18"/>
        </w:rPr>
      </w:pPr>
      <w:r w:rsidRPr="00EF223B">
        <w:rPr>
          <w:rFonts w:ascii="Book Antiqua" w:hAnsi="Book Antiqua"/>
          <w:b/>
          <w:color w:val="000080"/>
          <w:sz w:val="18"/>
          <w:szCs w:val="18"/>
        </w:rPr>
        <w:t>Office of Research and Sponsored Programs</w:t>
      </w:r>
    </w:p>
    <w:p w14:paraId="7BCC35FB" w14:textId="77777777" w:rsidR="00557E42" w:rsidRPr="00EF223B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18"/>
          <w:szCs w:val="18"/>
        </w:rPr>
      </w:pPr>
      <w:r w:rsidRPr="00EF223B">
        <w:rPr>
          <w:rFonts w:ascii="Book Antiqua" w:hAnsi="Book Antiqua"/>
          <w:b/>
          <w:i/>
          <w:color w:val="000080"/>
          <w:sz w:val="18"/>
          <w:szCs w:val="18"/>
        </w:rPr>
        <w:t>Division of Research Integrity and Compliance – Institutional Review Board</w:t>
      </w:r>
    </w:p>
    <w:p w14:paraId="643FE042" w14:textId="77777777" w:rsidR="00557E42" w:rsidRPr="00EF223B" w:rsidRDefault="00FA5285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18"/>
          <w:szCs w:val="18"/>
        </w:rPr>
      </w:pPr>
      <w:r w:rsidRPr="00EF223B">
        <w:rPr>
          <w:rFonts w:ascii="Book Antiqua" w:hAnsi="Book Antiqua"/>
          <w:b/>
          <w:color w:val="000080"/>
          <w:sz w:val="18"/>
          <w:szCs w:val="18"/>
        </w:rPr>
        <w:t>100 Barr Hall</w:t>
      </w:r>
      <w:r w:rsidR="00557E42" w:rsidRPr="00EF223B">
        <w:rPr>
          <w:rFonts w:ascii="Book Antiqua" w:hAnsi="Book Antiqua"/>
          <w:b/>
          <w:color w:val="000080"/>
          <w:sz w:val="18"/>
          <w:szCs w:val="18"/>
        </w:rPr>
        <w:t xml:space="preserve"> – University MS  38677</w:t>
      </w:r>
    </w:p>
    <w:p w14:paraId="018B2A68" w14:textId="77777777" w:rsidR="00557E42" w:rsidRPr="00EF223B" w:rsidRDefault="00000000" w:rsidP="00557E42">
      <w:pPr>
        <w:pStyle w:val="Header"/>
        <w:tabs>
          <w:tab w:val="clear" w:pos="4320"/>
          <w:tab w:val="clear" w:pos="8640"/>
        </w:tabs>
        <w:ind w:left="1080"/>
        <w:rPr>
          <w:rFonts w:ascii="Book Antiqua" w:hAnsi="Book Antiqua"/>
          <w:b/>
          <w:color w:val="000080"/>
          <w:sz w:val="24"/>
          <w:szCs w:val="24"/>
        </w:rPr>
      </w:pPr>
      <w:hyperlink r:id="rId8" w:history="1">
        <w:r w:rsidR="00E8333A" w:rsidRPr="00EF223B">
          <w:rPr>
            <w:rStyle w:val="Hyperlink"/>
            <w:rFonts w:ascii="Book Antiqua" w:hAnsi="Book Antiqua"/>
            <w:b/>
            <w:sz w:val="18"/>
            <w:szCs w:val="16"/>
          </w:rPr>
          <w:t>irb@olemiss.edu</w:t>
        </w:r>
      </w:hyperlink>
      <w:r w:rsidR="00557E42" w:rsidRPr="00EF223B">
        <w:rPr>
          <w:rFonts w:ascii="Book Antiqua" w:hAnsi="Book Antiqua"/>
          <w:b/>
          <w:color w:val="000080"/>
          <w:sz w:val="16"/>
          <w:szCs w:val="16"/>
        </w:rPr>
        <w:t xml:space="preserve"> </w:t>
      </w:r>
    </w:p>
    <w:p w14:paraId="52E696DF" w14:textId="77777777" w:rsidR="00557E42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7336C09A" w14:textId="77777777" w:rsidR="00557E42" w:rsidRPr="00C259D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1687C637" w14:textId="77777777" w:rsidR="00A57F8E" w:rsidRPr="00A57F8E" w:rsidRDefault="00A57F8E" w:rsidP="00546734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CCECFF"/>
        <w:rPr>
          <w:rFonts w:ascii="Arial Black" w:hAnsi="Arial Black"/>
          <w:color w:val="000080"/>
          <w:sz w:val="24"/>
          <w:szCs w:val="24"/>
        </w:rPr>
      </w:pPr>
      <w:r>
        <w:rPr>
          <w:rFonts w:ascii="Arial Black" w:hAnsi="Arial Black"/>
          <w:color w:val="000080"/>
          <w:sz w:val="24"/>
          <w:szCs w:val="24"/>
        </w:rPr>
        <w:t xml:space="preserve">Appendix </w:t>
      </w:r>
      <w:r w:rsidR="003460E8">
        <w:rPr>
          <w:rFonts w:ascii="Arial Black" w:hAnsi="Arial Black"/>
          <w:color w:val="000080"/>
          <w:sz w:val="24"/>
          <w:szCs w:val="24"/>
        </w:rPr>
        <w:t>F</w:t>
      </w:r>
    </w:p>
    <w:p w14:paraId="71CBDF9A" w14:textId="77777777" w:rsidR="00557E42" w:rsidRPr="00821259" w:rsidRDefault="003460E8" w:rsidP="00546734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CCECFF"/>
        <w:rPr>
          <w:rFonts w:ascii="Arial Black" w:hAnsi="Arial Black"/>
          <w:b w:val="0"/>
          <w:color w:val="000080"/>
          <w:sz w:val="24"/>
          <w:szCs w:val="24"/>
        </w:rPr>
      </w:pPr>
      <w:r>
        <w:rPr>
          <w:rFonts w:ascii="Arial Black" w:hAnsi="Arial Black"/>
          <w:b w:val="0"/>
          <w:color w:val="000080"/>
          <w:sz w:val="24"/>
          <w:szCs w:val="24"/>
        </w:rPr>
        <w:t>HIPAA Waiver of Authorization Request</w:t>
      </w:r>
    </w:p>
    <w:p w14:paraId="354E1CEB" w14:textId="77777777" w:rsidR="00557E42" w:rsidRDefault="00557E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10B83486" w14:textId="77777777" w:rsidR="006D6AD8" w:rsidRPr="006D6AD8" w:rsidRDefault="006D6AD8" w:rsidP="006D6AD8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04BA" w:rsidRPr="00F04EC2" w14:paraId="3E42AB3C" w14:textId="77777777" w:rsidTr="00F04EC2">
        <w:tc>
          <w:tcPr>
            <w:tcW w:w="11016" w:type="dxa"/>
            <w:shd w:val="clear" w:color="auto" w:fill="auto"/>
          </w:tcPr>
          <w:p w14:paraId="05C3A14B" w14:textId="7F29EB67" w:rsidR="003004BA" w:rsidRPr="006D6AD8" w:rsidRDefault="003004BA" w:rsidP="003004BA">
            <w:pPr>
              <w:pStyle w:val="BodyText"/>
              <w:numPr>
                <w:ilvl w:val="0"/>
                <w:numId w:val="6"/>
              </w:numPr>
              <w:ind w:right="72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Check the following </w:t>
            </w:r>
            <w:r w:rsidRPr="006D6AD8">
              <w:rPr>
                <w:rFonts w:ascii="Book Antiqua" w:hAnsi="Book Antiqua"/>
                <w:b w:val="0"/>
                <w:sz w:val="22"/>
                <w:szCs w:val="22"/>
              </w:rPr>
              <w:t>Protected Healt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h Information (PHI) Identifiers </w:t>
            </w:r>
            <w:r w:rsidR="00EF223B">
              <w:rPr>
                <w:rFonts w:ascii="Book Antiqua" w:hAnsi="Book Antiqua"/>
                <w:b w:val="0"/>
                <w:sz w:val="22"/>
                <w:szCs w:val="22"/>
              </w:rPr>
              <w:t>to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 which you will </w:t>
            </w:r>
            <w:r w:rsidR="00EF223B" w:rsidRPr="0038619A">
              <w:rPr>
                <w:rFonts w:ascii="Book Antiqua" w:hAnsi="Book Antiqua"/>
                <w:bCs/>
                <w:sz w:val="22"/>
                <w:szCs w:val="22"/>
                <w:u w:val="single"/>
              </w:rPr>
              <w:t>require</w:t>
            </w:r>
            <w:r>
              <w:rPr>
                <w:rFonts w:ascii="Book Antiqua" w:hAnsi="Book Antiqua"/>
                <w:b w:val="0"/>
                <w:sz w:val="22"/>
                <w:szCs w:val="22"/>
              </w:rPr>
              <w:t xml:space="preserve"> access</w:t>
            </w:r>
            <w:r w:rsidR="00EF223B">
              <w:rPr>
                <w:rFonts w:ascii="Book Antiqua" w:hAnsi="Book Antiqua"/>
                <w:b w:val="0"/>
                <w:sz w:val="22"/>
                <w:szCs w:val="22"/>
              </w:rPr>
              <w:t xml:space="preserve"> to conduct your research.</w:t>
            </w:r>
          </w:p>
          <w:p w14:paraId="3D0F7EF5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Names</w:t>
            </w:r>
          </w:p>
          <w:p w14:paraId="16864623" w14:textId="77777777" w:rsidR="003004BA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All geographical i</w:t>
            </w:r>
            <w:r>
              <w:rPr>
                <w:rFonts w:ascii="Book Antiqua" w:hAnsi="Book Antiqua"/>
                <w:b w:val="0"/>
                <w:sz w:val="20"/>
                <w:szCs w:val="22"/>
              </w:rPr>
              <w:t>dentifiers smaller than a state</w:t>
            </w:r>
          </w:p>
          <w:p w14:paraId="383D6AFB" w14:textId="77777777" w:rsidR="003004BA" w:rsidRPr="006D6AD8" w:rsidRDefault="003004BA" w:rsidP="003004BA">
            <w:pPr>
              <w:pStyle w:val="BodyText"/>
              <w:numPr>
                <w:ilvl w:val="2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>
              <w:rPr>
                <w:rFonts w:ascii="Book Antiqua" w:hAnsi="Book Antiqua"/>
                <w:b w:val="0"/>
                <w:sz w:val="20"/>
                <w:szCs w:val="22"/>
              </w:rPr>
              <w:t>Exception: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 xml:space="preserve"> the initial three digits of a zip code if, according to the current publicly available data from the Bureau of the Census: </w:t>
            </w:r>
          </w:p>
          <w:p w14:paraId="273DF6DA" w14:textId="77777777" w:rsidR="003004BA" w:rsidRPr="006D6AD8" w:rsidRDefault="003004BA" w:rsidP="003004BA">
            <w:pPr>
              <w:pStyle w:val="BodyText"/>
              <w:numPr>
                <w:ilvl w:val="3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the geographic unit formed by combining all zip codes with the same three initial digits contains more than 20,000 people; AND</w:t>
            </w:r>
          </w:p>
          <w:p w14:paraId="0F33D09B" w14:textId="77777777" w:rsidR="003004BA" w:rsidRPr="006D6AD8" w:rsidRDefault="003004BA" w:rsidP="003004BA">
            <w:pPr>
              <w:pStyle w:val="BodyText"/>
              <w:numPr>
                <w:ilvl w:val="3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the initial three digits of a zip code for all such geographic units containing 20,000 or fewer people is changed to 000</w:t>
            </w:r>
          </w:p>
          <w:p w14:paraId="51D681C1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Dates (other than year) directly related to an individual</w:t>
            </w:r>
          </w:p>
          <w:p w14:paraId="2D3CB2D7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Phone numbers</w:t>
            </w:r>
          </w:p>
          <w:p w14:paraId="0CA5A0E6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Fax numbers</w:t>
            </w:r>
          </w:p>
          <w:p w14:paraId="491A5346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Email addresses</w:t>
            </w:r>
          </w:p>
          <w:p w14:paraId="11F9755B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Social Security numbers</w:t>
            </w:r>
          </w:p>
          <w:p w14:paraId="2A17DE21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Medical record numbers</w:t>
            </w:r>
          </w:p>
          <w:p w14:paraId="70B1690F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Health insurance beneficiary numbers</w:t>
            </w:r>
          </w:p>
          <w:p w14:paraId="611852D1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Account numbers</w:t>
            </w:r>
          </w:p>
          <w:p w14:paraId="7D2E0B31" w14:textId="425D3EB6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10786E" w:rsidRPr="003004BA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Certificate/license numbers</w:t>
            </w:r>
          </w:p>
          <w:p w14:paraId="6A704CE3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Vehicle identifiers and serial numbers, including license plate numbers;</w:t>
            </w:r>
          </w:p>
          <w:p w14:paraId="7142847E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Device identifiers and serial numbers;</w:t>
            </w:r>
          </w:p>
          <w:p w14:paraId="1FE1C26C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Web Uniform Resource Locators (URLs)</w:t>
            </w:r>
          </w:p>
          <w:p w14:paraId="32EC6B66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Internet Protocol (IP) address numbers</w:t>
            </w:r>
          </w:p>
          <w:p w14:paraId="32E0EA71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Biometric identifiers, including finger, retinal and voice prints</w:t>
            </w:r>
          </w:p>
          <w:p w14:paraId="798EC857" w14:textId="77777777" w:rsidR="003004BA" w:rsidRPr="006D6AD8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Full face photographic images and any comparable images</w:t>
            </w:r>
          </w:p>
          <w:p w14:paraId="75A8A2E5" w14:textId="77777777" w:rsidR="003004BA" w:rsidRDefault="003004BA" w:rsidP="003004BA">
            <w:pPr>
              <w:pStyle w:val="BodyText"/>
              <w:numPr>
                <w:ilvl w:val="1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</w:r>
            <w:r w:rsidR="00000000">
              <w:rPr>
                <w:rFonts w:ascii="Book Antiqua" w:hAnsi="Book Antiqua"/>
                <w:b w:val="0"/>
                <w:sz w:val="20"/>
                <w:szCs w:val="22"/>
              </w:rPr>
              <w:fldChar w:fldCharType="separate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fldChar w:fldCharType="end"/>
            </w:r>
            <w:r w:rsidRPr="003004BA">
              <w:rPr>
                <w:rFonts w:ascii="Book Antiqua" w:hAnsi="Book Antiqua"/>
                <w:b w:val="0"/>
                <w:sz w:val="20"/>
                <w:szCs w:val="22"/>
              </w:rPr>
              <w:t xml:space="preserve">  </w:t>
            </w:r>
            <w:r w:rsidRPr="006D6AD8">
              <w:rPr>
                <w:rFonts w:ascii="Book Antiqua" w:hAnsi="Book Antiqua"/>
                <w:b w:val="0"/>
                <w:sz w:val="20"/>
                <w:szCs w:val="22"/>
              </w:rPr>
              <w:t>Any other unique identifying number, characteristic, or code except the unique code assigned by the investigator to code the data</w:t>
            </w:r>
          </w:p>
          <w:p w14:paraId="617E1D9B" w14:textId="77777777" w:rsidR="003004BA" w:rsidRPr="003004BA" w:rsidRDefault="003004BA" w:rsidP="003004BA">
            <w:pPr>
              <w:pStyle w:val="BodyText"/>
              <w:numPr>
                <w:ilvl w:val="2"/>
                <w:numId w:val="6"/>
              </w:numPr>
              <w:ind w:right="72"/>
              <w:rPr>
                <w:rFonts w:ascii="Book Antiqua" w:hAnsi="Book Antiqua"/>
                <w:b w:val="0"/>
                <w:sz w:val="20"/>
                <w:szCs w:val="22"/>
              </w:rPr>
            </w:pPr>
            <w:r>
              <w:rPr>
                <w:rFonts w:ascii="Book Antiqua" w:hAnsi="Book Antiqua"/>
                <w:b w:val="0"/>
                <w:sz w:val="20"/>
                <w:szCs w:val="22"/>
              </w:rPr>
              <w:t xml:space="preserve">Describe: 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3460E8" w:rsidRPr="00F04EC2" w14:paraId="67CF0E17" w14:textId="77777777" w:rsidTr="00F04EC2">
        <w:tc>
          <w:tcPr>
            <w:tcW w:w="11016" w:type="dxa"/>
            <w:shd w:val="clear" w:color="auto" w:fill="auto"/>
          </w:tcPr>
          <w:p w14:paraId="1EAFF42A" w14:textId="45D78058" w:rsidR="003460E8" w:rsidRPr="00F04EC2" w:rsidRDefault="003460E8" w:rsidP="00F04EC2">
            <w:pPr>
              <w:pStyle w:val="BodyText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Explain how the use and disclosure of the </w:t>
            </w:r>
            <w:r w:rsidR="0038619A" w:rsidRPr="0038619A">
              <w:rPr>
                <w:rFonts w:ascii="Book Antiqua" w:hAnsi="Book Antiqua"/>
                <w:bCs/>
                <w:sz w:val="22"/>
                <w:szCs w:val="22"/>
                <w:u w:val="single"/>
              </w:rPr>
              <w:t>required</w:t>
            </w:r>
            <w:r w:rsidR="0038619A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information presents no more than minimal risk to the privacy of the individual. 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  <w:p w14:paraId="5F36C127" w14:textId="77777777" w:rsidR="0061426A" w:rsidRPr="00F04EC2" w:rsidRDefault="0061426A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529CE376" w14:textId="77777777" w:rsidR="003460E8" w:rsidRPr="00F04EC2" w:rsidRDefault="003460E8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3460E8" w:rsidRPr="00F04EC2" w14:paraId="6AF66B50" w14:textId="77777777" w:rsidTr="00F04EC2">
        <w:tc>
          <w:tcPr>
            <w:tcW w:w="11016" w:type="dxa"/>
            <w:shd w:val="clear" w:color="auto" w:fill="auto"/>
          </w:tcPr>
          <w:p w14:paraId="0D5C7B99" w14:textId="0638D84A" w:rsidR="003460E8" w:rsidRPr="00F04EC2" w:rsidRDefault="003460E8" w:rsidP="00F04EC2">
            <w:pPr>
              <w:pStyle w:val="BodyText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Describe the plan to protect the identifiers from improper use and disclosure (i.e., where the identifiers will be stored and who will have access). </w:t>
            </w:r>
            <w:r w:rsidR="00F65A15">
              <w:rPr>
                <w:rFonts w:ascii="Book Antiqua" w:hAnsi="Book Antiqua"/>
                <w:b w:val="0"/>
                <w:sz w:val="22"/>
                <w:szCs w:val="22"/>
              </w:rPr>
              <w:t>C</w:t>
            </w:r>
            <w:r w:rsidR="00F65A15" w:rsidRPr="00F65A15">
              <w:rPr>
                <w:rFonts w:ascii="Book Antiqua" w:hAnsi="Book Antiqua"/>
                <w:b w:val="0"/>
                <w:sz w:val="22"/>
                <w:szCs w:val="22"/>
              </w:rPr>
              <w:t>omputers containing the data must not be connected to the Internet, and either 1) data must be encrypted or 2) computer must be password protected and locked in a room with access limited to the investigators</w:t>
            </w:r>
            <w:r w:rsidR="00F65A15">
              <w:rPr>
                <w:rFonts w:ascii="Book Antiqua" w:hAnsi="Book Antiqua"/>
                <w:b w:val="0"/>
                <w:sz w:val="22"/>
                <w:szCs w:val="22"/>
              </w:rPr>
              <w:t>.</w:t>
            </w: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  <w:p w14:paraId="2FFE5DFF" w14:textId="77777777" w:rsidR="0061426A" w:rsidRPr="00F04EC2" w:rsidRDefault="0061426A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4C68C911" w14:textId="77777777" w:rsidR="003460E8" w:rsidRPr="00F04EC2" w:rsidRDefault="003460E8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3460E8" w:rsidRPr="00F04EC2" w14:paraId="52207A38" w14:textId="77777777" w:rsidTr="00F04EC2">
        <w:tc>
          <w:tcPr>
            <w:tcW w:w="11016" w:type="dxa"/>
            <w:shd w:val="clear" w:color="auto" w:fill="auto"/>
          </w:tcPr>
          <w:p w14:paraId="0A7FC99C" w14:textId="77777777" w:rsidR="003460E8" w:rsidRPr="00F04EC2" w:rsidRDefault="003460E8" w:rsidP="00F04EC2">
            <w:pPr>
              <w:pStyle w:val="BodyText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Describe the plan to destroy the identifiers at the earliest opportunity consistent with the conduct of the research. If there is a health or research justification for retaining identifiers or, if retention is required by law, please provide this information as well. 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  <w:p w14:paraId="63662EBA" w14:textId="77777777" w:rsidR="0061426A" w:rsidRPr="00F04EC2" w:rsidRDefault="0061426A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621B733B" w14:textId="77777777" w:rsidR="003460E8" w:rsidRPr="00F04EC2" w:rsidRDefault="003460E8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3460E8" w:rsidRPr="00F04EC2" w14:paraId="25508971" w14:textId="77777777" w:rsidTr="00F04EC2">
        <w:tc>
          <w:tcPr>
            <w:tcW w:w="11016" w:type="dxa"/>
            <w:shd w:val="clear" w:color="auto" w:fill="auto"/>
          </w:tcPr>
          <w:p w14:paraId="42FDA3BD" w14:textId="77777777" w:rsidR="003460E8" w:rsidRPr="00F04EC2" w:rsidRDefault="003460E8" w:rsidP="00F04EC2">
            <w:pPr>
              <w:pStyle w:val="BodyText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lastRenderedPageBreak/>
              <w:t xml:space="preserve">Explain why the research could not be practicably conducted without the alteration or waiver. 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  <w:p w14:paraId="177F6AFF" w14:textId="77777777" w:rsidR="0061426A" w:rsidRPr="00F04EC2" w:rsidRDefault="0061426A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0E386A3E" w14:textId="77777777" w:rsidR="003460E8" w:rsidRPr="00F04EC2" w:rsidRDefault="003460E8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3460E8" w:rsidRPr="00F04EC2" w14:paraId="3DB6CF31" w14:textId="77777777" w:rsidTr="00F04EC2">
        <w:tc>
          <w:tcPr>
            <w:tcW w:w="11016" w:type="dxa"/>
            <w:shd w:val="clear" w:color="auto" w:fill="auto"/>
          </w:tcPr>
          <w:p w14:paraId="1DB58161" w14:textId="77777777" w:rsidR="003460E8" w:rsidRPr="00F04EC2" w:rsidRDefault="003460E8" w:rsidP="00F04EC2">
            <w:pPr>
              <w:pStyle w:val="BodyText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Explain why the research could not be conducted without access to and use of PHI. 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  <w:p w14:paraId="57312B19" w14:textId="77777777" w:rsidR="003460E8" w:rsidRPr="00F04EC2" w:rsidRDefault="003460E8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144F3527" w14:textId="77777777" w:rsidR="0061426A" w:rsidRPr="00F04EC2" w:rsidRDefault="0061426A" w:rsidP="0061426A">
            <w:pPr>
              <w:pStyle w:val="BodyText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  <w:tr w:rsidR="003460E8" w:rsidRPr="00F04EC2" w14:paraId="4F645EF3" w14:textId="77777777" w:rsidTr="00F04EC2">
        <w:tc>
          <w:tcPr>
            <w:tcW w:w="11016" w:type="dxa"/>
            <w:shd w:val="clear" w:color="auto" w:fill="auto"/>
          </w:tcPr>
          <w:p w14:paraId="29376338" w14:textId="77777777" w:rsidR="003460E8" w:rsidRPr="00F04EC2" w:rsidRDefault="003460E8" w:rsidP="00F04EC2">
            <w:pPr>
              <w:pStyle w:val="BodyText"/>
              <w:numPr>
                <w:ilvl w:val="0"/>
                <w:numId w:val="6"/>
              </w:numPr>
              <w:rPr>
                <w:rFonts w:ascii="Book Antiqua" w:hAnsi="Book Antiqua"/>
                <w:b w:val="0"/>
                <w:sz w:val="22"/>
                <w:szCs w:val="22"/>
              </w:rPr>
            </w:pP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The Privacy Rule requires that when a waiver is granted only the </w:t>
            </w:r>
            <w:r w:rsidRPr="00EF223B">
              <w:rPr>
                <w:rFonts w:ascii="Book Antiqua" w:hAnsi="Book Antiqua"/>
                <w:b w:val="0"/>
                <w:sz w:val="22"/>
                <w:szCs w:val="22"/>
                <w:u w:val="single"/>
              </w:rPr>
              <w:t>minimum necessary</w:t>
            </w: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 health information be used/disclosed. Provide justification that the PHI being requested is the </w:t>
            </w:r>
            <w:r w:rsidRPr="00EF223B">
              <w:rPr>
                <w:rFonts w:ascii="Book Antiqua" w:hAnsi="Book Antiqua"/>
                <w:b w:val="0"/>
                <w:sz w:val="22"/>
                <w:szCs w:val="22"/>
                <w:u w:val="single"/>
              </w:rPr>
              <w:t>minimum necessary</w:t>
            </w:r>
            <w:r w:rsidRPr="00F04EC2">
              <w:rPr>
                <w:rFonts w:ascii="Book Antiqua" w:hAnsi="Book Antiqua"/>
                <w:b w:val="0"/>
                <w:sz w:val="22"/>
                <w:szCs w:val="22"/>
              </w:rPr>
              <w:t xml:space="preserve"> information reasonably necessary to accomplish the objectives of the proposed research.  </w:t>
            </w:r>
            <w:r w:rsidRPr="00F04EC2">
              <w:rPr>
                <w:rFonts w:cs="Arial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04EC2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04EC2">
              <w:rPr>
                <w:rFonts w:cs="Arial"/>
                <w:b w:val="0"/>
                <w:sz w:val="20"/>
              </w:rPr>
            </w:r>
            <w:r w:rsidRPr="00F04EC2">
              <w:rPr>
                <w:rFonts w:cs="Arial"/>
                <w:b w:val="0"/>
                <w:sz w:val="20"/>
              </w:rPr>
              <w:fldChar w:fldCharType="separate"/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t> </w:t>
            </w:r>
            <w:r w:rsidRPr="00F04EC2">
              <w:rPr>
                <w:rFonts w:cs="Arial"/>
                <w:b w:val="0"/>
                <w:sz w:val="20"/>
              </w:rPr>
              <w:fldChar w:fldCharType="end"/>
            </w:r>
          </w:p>
          <w:p w14:paraId="4CE61BB5" w14:textId="77777777" w:rsidR="003460E8" w:rsidRPr="00F04EC2" w:rsidRDefault="003460E8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  <w:p w14:paraId="32C1C9B8" w14:textId="77777777" w:rsidR="0061426A" w:rsidRPr="00F04EC2" w:rsidRDefault="0061426A" w:rsidP="00F04EC2">
            <w:pPr>
              <w:pStyle w:val="BodyText"/>
              <w:ind w:left="720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14:paraId="589B7894" w14:textId="77777777" w:rsidR="003460E8" w:rsidRDefault="003460E8" w:rsidP="003460E8">
      <w:pPr>
        <w:pStyle w:val="BodyText"/>
        <w:ind w:left="720" w:right="72"/>
        <w:rPr>
          <w:rFonts w:ascii="Book Antiqua" w:hAnsi="Book Antiqua"/>
          <w:b w:val="0"/>
          <w:sz w:val="22"/>
          <w:szCs w:val="22"/>
        </w:rPr>
      </w:pPr>
      <w:r w:rsidRPr="003460E8">
        <w:rPr>
          <w:rFonts w:ascii="Book Antiqua" w:hAnsi="Book Antiqua"/>
          <w:b w:val="0"/>
          <w:sz w:val="22"/>
          <w:szCs w:val="22"/>
        </w:rPr>
        <w:br/>
      </w:r>
      <w:r w:rsidRPr="003460E8">
        <w:rPr>
          <w:rFonts w:ascii="Book Antiqua" w:hAnsi="Book Antiqua"/>
          <w:b w:val="0"/>
          <w:sz w:val="22"/>
          <w:szCs w:val="22"/>
        </w:rPr>
        <w:br/>
      </w:r>
      <w:r w:rsidRPr="003460E8">
        <w:rPr>
          <w:rFonts w:ascii="Book Antiqua" w:hAnsi="Book Antiqua"/>
          <w:b w:val="0"/>
          <w:sz w:val="22"/>
          <w:szCs w:val="22"/>
        </w:rPr>
        <w:br/>
      </w:r>
      <w:r w:rsidRPr="003460E8">
        <w:rPr>
          <w:rFonts w:ascii="Book Antiqua" w:hAnsi="Book Antiqua"/>
          <w:b w:val="0"/>
          <w:sz w:val="22"/>
          <w:szCs w:val="22"/>
        </w:rPr>
        <w:br/>
      </w:r>
    </w:p>
    <w:p w14:paraId="5F6D999C" w14:textId="77777777" w:rsidR="00D57F23" w:rsidRDefault="00D57F23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0AAAD955" w14:textId="77777777" w:rsidR="00D57F23" w:rsidRDefault="00D57F23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57603552" w14:textId="77777777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20EA6169" w14:textId="77777777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p w14:paraId="5AA7ABB8" w14:textId="77777777" w:rsidR="00B870E1" w:rsidRDefault="00B870E1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sectPr w:rsidR="00B870E1" w:rsidSect="008005B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E37F5" w14:textId="77777777" w:rsidR="008005B6" w:rsidRDefault="008005B6" w:rsidP="00024688">
      <w:r>
        <w:separator/>
      </w:r>
    </w:p>
  </w:endnote>
  <w:endnote w:type="continuationSeparator" w:id="0">
    <w:p w14:paraId="3FF8242A" w14:textId="77777777" w:rsidR="008005B6" w:rsidRDefault="008005B6" w:rsidP="000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4B953" w14:textId="77777777" w:rsidR="003460E8" w:rsidRDefault="003460E8" w:rsidP="002D0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666C9" w14:textId="77777777" w:rsidR="003460E8" w:rsidRDefault="0034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A2DB1" w14:textId="52DA41D0" w:rsidR="003460E8" w:rsidRDefault="0061426A" w:rsidP="002D0FEE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HIPAA Waiver</w:t>
    </w:r>
    <w:r w:rsidR="003460E8">
      <w:rPr>
        <w:rFonts w:ascii="Times New Roman" w:hAnsi="Times New Roman"/>
        <w:sz w:val="18"/>
        <w:szCs w:val="18"/>
      </w:rPr>
      <w:t xml:space="preserve"> (rev.</w:t>
    </w:r>
    <w:r>
      <w:rPr>
        <w:rFonts w:ascii="Times New Roman" w:hAnsi="Times New Roman"/>
        <w:sz w:val="18"/>
        <w:szCs w:val="18"/>
      </w:rPr>
      <w:t>0</w:t>
    </w:r>
    <w:r w:rsidR="00EF223B">
      <w:rPr>
        <w:rFonts w:ascii="Times New Roman" w:hAnsi="Times New Roman"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t>/20</w:t>
    </w:r>
    <w:r w:rsidR="00EF223B">
      <w:rPr>
        <w:rFonts w:ascii="Times New Roman" w:hAnsi="Times New Roman"/>
        <w:sz w:val="18"/>
        <w:szCs w:val="18"/>
      </w:rPr>
      <w:t>24</w:t>
    </w:r>
    <w:r w:rsidR="003460E8">
      <w:rPr>
        <w:rFonts w:ascii="Times New Roman" w:hAnsi="Times New Roman"/>
        <w:sz w:val="18"/>
        <w:szCs w:val="18"/>
      </w:rPr>
      <w:t>)</w:t>
    </w:r>
  </w:p>
  <w:p w14:paraId="3817D4F0" w14:textId="77777777" w:rsidR="003460E8" w:rsidRPr="002D0FEE" w:rsidRDefault="003460E8" w:rsidP="002D0FEE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79274" w14:textId="77777777" w:rsidR="008005B6" w:rsidRDefault="008005B6" w:rsidP="00024688">
      <w:r>
        <w:separator/>
      </w:r>
    </w:p>
  </w:footnote>
  <w:footnote w:type="continuationSeparator" w:id="0">
    <w:p w14:paraId="0D315027" w14:textId="77777777" w:rsidR="008005B6" w:rsidRDefault="008005B6" w:rsidP="0002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27B1"/>
    <w:multiLevelType w:val="hybridMultilevel"/>
    <w:tmpl w:val="82D6C808"/>
    <w:lvl w:ilvl="0" w:tplc="59D6E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477"/>
    <w:multiLevelType w:val="hybridMultilevel"/>
    <w:tmpl w:val="DC3CA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7C6"/>
    <w:multiLevelType w:val="hybridMultilevel"/>
    <w:tmpl w:val="8C0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034E"/>
    <w:multiLevelType w:val="hybridMultilevel"/>
    <w:tmpl w:val="00AC4450"/>
    <w:lvl w:ilvl="0" w:tplc="16F06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3127"/>
    <w:multiLevelType w:val="hybridMultilevel"/>
    <w:tmpl w:val="895875CA"/>
    <w:lvl w:ilvl="0" w:tplc="6FA8F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CA4"/>
    <w:multiLevelType w:val="hybridMultilevel"/>
    <w:tmpl w:val="FEFCB2DA"/>
    <w:lvl w:ilvl="0" w:tplc="92322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7426"/>
    <w:multiLevelType w:val="hybridMultilevel"/>
    <w:tmpl w:val="FAA8BEEC"/>
    <w:lvl w:ilvl="0" w:tplc="59D6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9132521">
    <w:abstractNumId w:val="6"/>
  </w:num>
  <w:num w:numId="2" w16cid:durableId="1247421451">
    <w:abstractNumId w:val="4"/>
  </w:num>
  <w:num w:numId="3" w16cid:durableId="1911500051">
    <w:abstractNumId w:val="3"/>
  </w:num>
  <w:num w:numId="4" w16cid:durableId="1792287247">
    <w:abstractNumId w:val="2"/>
  </w:num>
  <w:num w:numId="5" w16cid:durableId="1087733046">
    <w:abstractNumId w:val="0"/>
  </w:num>
  <w:num w:numId="6" w16cid:durableId="1545872602">
    <w:abstractNumId w:val="5"/>
  </w:num>
  <w:num w:numId="7" w16cid:durableId="200208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epSbrnymhGnGyvxpJNcRKQD9b0pxCnPp2fshr2RxxLduFF75HY4ct35i3FbnQEkkm/ZqiimkN0CvAH0ZPh/w==" w:salt="vnWwitI3RrB0OqvgYf5RCw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3"/>
    <w:rsid w:val="00024688"/>
    <w:rsid w:val="00080AE2"/>
    <w:rsid w:val="000B2E0E"/>
    <w:rsid w:val="0010786E"/>
    <w:rsid w:val="001B4D5D"/>
    <w:rsid w:val="001D4E80"/>
    <w:rsid w:val="002B3AE8"/>
    <w:rsid w:val="002B61FA"/>
    <w:rsid w:val="002D0FEE"/>
    <w:rsid w:val="002E1DAB"/>
    <w:rsid w:val="003004BA"/>
    <w:rsid w:val="003460E8"/>
    <w:rsid w:val="0038619A"/>
    <w:rsid w:val="00393818"/>
    <w:rsid w:val="003A793C"/>
    <w:rsid w:val="003E7F57"/>
    <w:rsid w:val="00414E17"/>
    <w:rsid w:val="00546734"/>
    <w:rsid w:val="00557E42"/>
    <w:rsid w:val="005A354D"/>
    <w:rsid w:val="00603B3F"/>
    <w:rsid w:val="00605ADF"/>
    <w:rsid w:val="0061426A"/>
    <w:rsid w:val="00684B33"/>
    <w:rsid w:val="006A3107"/>
    <w:rsid w:val="006B272A"/>
    <w:rsid w:val="006D6AD8"/>
    <w:rsid w:val="006E3E0D"/>
    <w:rsid w:val="007A2DD1"/>
    <w:rsid w:val="007B4565"/>
    <w:rsid w:val="007D4849"/>
    <w:rsid w:val="008005B6"/>
    <w:rsid w:val="00887B62"/>
    <w:rsid w:val="00991F5D"/>
    <w:rsid w:val="00A13198"/>
    <w:rsid w:val="00A57F8E"/>
    <w:rsid w:val="00A654D7"/>
    <w:rsid w:val="00B05C5D"/>
    <w:rsid w:val="00B204B1"/>
    <w:rsid w:val="00B83BE7"/>
    <w:rsid w:val="00B870E1"/>
    <w:rsid w:val="00BF7FFB"/>
    <w:rsid w:val="00C07888"/>
    <w:rsid w:val="00CC08CA"/>
    <w:rsid w:val="00CF0434"/>
    <w:rsid w:val="00D13169"/>
    <w:rsid w:val="00D51EE0"/>
    <w:rsid w:val="00D57F23"/>
    <w:rsid w:val="00DB6529"/>
    <w:rsid w:val="00E26D74"/>
    <w:rsid w:val="00E66334"/>
    <w:rsid w:val="00E8333A"/>
    <w:rsid w:val="00EF223B"/>
    <w:rsid w:val="00F04EC2"/>
    <w:rsid w:val="00F65A15"/>
    <w:rsid w:val="00FA5285"/>
    <w:rsid w:val="00FB5E5E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C80EFD"/>
  <w15:chartTrackingRefBased/>
  <w15:docId w15:val="{91088FE7-F04F-4EFC-B9B8-95A218A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42"/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557E4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E42"/>
    <w:pPr>
      <w:tabs>
        <w:tab w:val="center" w:pos="4320"/>
        <w:tab w:val="right" w:pos="8640"/>
      </w:tabs>
    </w:pPr>
  </w:style>
  <w:style w:type="character" w:styleId="Hyperlink">
    <w:name w:val="Hyperlink"/>
    <w:rsid w:val="00557E42"/>
    <w:rPr>
      <w:color w:val="0000FF"/>
      <w:u w:val="single"/>
    </w:rPr>
  </w:style>
  <w:style w:type="paragraph" w:styleId="BodyText">
    <w:name w:val="Body Text"/>
    <w:basedOn w:val="Normal"/>
    <w:rsid w:val="00557E42"/>
    <w:rPr>
      <w:b/>
      <w:sz w:val="24"/>
    </w:rPr>
  </w:style>
  <w:style w:type="table" w:styleId="TableGrid">
    <w:name w:val="Table Grid"/>
    <w:basedOn w:val="TableNormal"/>
    <w:rsid w:val="0055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3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8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lemis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2751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UM-ORSP</Company>
  <LinksUpToDate>false</LinksUpToDate>
  <CharactersWithSpaces>3277</CharactersWithSpaces>
  <SharedDoc>false</SharedDoc>
  <HLinks>
    <vt:vector size="6" baseType="variant"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mailto:irb@olemiss.edu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Linda Sperath</dc:creator>
  <cp:keywords/>
  <dc:description/>
  <cp:lastModifiedBy>Miranda Leigh Core</cp:lastModifiedBy>
  <cp:revision>2</cp:revision>
  <cp:lastPrinted>2007-07-06T19:31:00Z</cp:lastPrinted>
  <dcterms:created xsi:type="dcterms:W3CDTF">2024-05-23T19:44:00Z</dcterms:created>
  <dcterms:modified xsi:type="dcterms:W3CDTF">2024-05-23T19:44:00Z</dcterms:modified>
</cp:coreProperties>
</file>