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4CBF" w14:textId="77777777" w:rsidR="005E7FB6" w:rsidRDefault="005E7FB6">
      <w:pPr>
        <w:spacing w:after="0" w:line="259" w:lineRule="auto"/>
        <w:ind w:left="1" w:firstLine="0"/>
      </w:pPr>
    </w:p>
    <w:p w14:paraId="4087B6E2" w14:textId="0FDC3348" w:rsidR="005E7FB6" w:rsidRDefault="00385524" w:rsidP="00E44FE7">
      <w:pPr>
        <w:spacing w:after="0" w:line="259" w:lineRule="auto"/>
        <w:ind w:left="1" w:firstLine="0"/>
      </w:pPr>
      <w:r>
        <w:rPr>
          <w:rFonts w:ascii="Times New Roman" w:eastAsia="Times New Roman" w:hAnsi="Times New Roman" w:cs="Times New Roman"/>
          <w:sz w:val="24"/>
        </w:rPr>
        <w:t xml:space="preserve">  </w:t>
      </w:r>
    </w:p>
    <w:p w14:paraId="317FD199" w14:textId="4F426563" w:rsidR="005E7FB6" w:rsidRDefault="00E44FE7">
      <w:pPr>
        <w:spacing w:after="0" w:line="259" w:lineRule="auto"/>
        <w:ind w:left="332" w:right="-44" w:firstLine="0"/>
      </w:pPr>
      <w:r>
        <w:rPr>
          <w:noProof/>
        </w:rPr>
        <mc:AlternateContent>
          <mc:Choice Requires="wpg">
            <w:drawing>
              <wp:inline distT="0" distB="0" distL="0" distR="0" wp14:anchorId="4F2E1BC2" wp14:editId="22B68614">
                <wp:extent cx="5751830" cy="18415"/>
                <wp:effectExtent l="0" t="0" r="0" b="0"/>
                <wp:docPr id="5006" name="Group 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1830" cy="18415"/>
                          <a:chOff x="0" y="0"/>
                          <a:chExt cx="5751576" cy="18288"/>
                        </a:xfrm>
                      </wpg:grpSpPr>
                      <wps:wsp>
                        <wps:cNvPr id="6878" name="Shape 6878"/>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EEE6494" id="Group 5006" o:spid="_x0000_s1026" style="width:452.9pt;height:1.45pt;mso-position-horizontal-relative:char;mso-position-vertical-relative:line" coordsize="575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">
                <v:shape id="Shape 6878" o:spid="_x0000_s1027" style="position:absolute;width:57515;height:182;visibility:visible;mso-wrap-style:square;v-text-anchor:top" coordsize="5751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" path="m,l5751576,r,18288l,18288,,e" fillcolor="black" stroked="f" strokeweight="0">
                  <v:stroke miterlimit="83231f" joinstyle="miter"/>
                  <v:path arrowok="t" textboxrect="0,0,5751576,18288"/>
                </v:shape>
                <w10:anchorlock/>
              </v:group>
            </w:pict>
          </mc:Fallback>
        </mc:AlternateContent>
      </w:r>
    </w:p>
    <w:p w14:paraId="0F9897BA" w14:textId="77777777" w:rsidR="005E7FB6" w:rsidRDefault="00385524">
      <w:pPr>
        <w:spacing w:after="0" w:line="259" w:lineRule="auto"/>
        <w:ind w:left="78" w:firstLine="0"/>
        <w:jc w:val="center"/>
      </w:pPr>
      <w:r>
        <w:rPr>
          <w:b/>
          <w:sz w:val="22"/>
        </w:rPr>
        <w:t xml:space="preserve"> </w:t>
      </w:r>
    </w:p>
    <w:p w14:paraId="6C017670" w14:textId="77777777" w:rsidR="005E7FB6" w:rsidRDefault="00385524">
      <w:pPr>
        <w:pStyle w:val="Heading1"/>
        <w:ind w:left="29"/>
        <w:jc w:val="center"/>
      </w:pPr>
      <w:r>
        <w:rPr>
          <w:sz w:val="24"/>
        </w:rPr>
        <w:t xml:space="preserve">ATTACHMENT A </w:t>
      </w:r>
    </w:p>
    <w:p w14:paraId="0F29858D" w14:textId="77777777" w:rsidR="005E7FB6" w:rsidRDefault="00385524">
      <w:pPr>
        <w:spacing w:after="0" w:line="259" w:lineRule="auto"/>
        <w:ind w:left="83" w:firstLine="0"/>
        <w:jc w:val="center"/>
      </w:pPr>
      <w:r>
        <w:rPr>
          <w:b/>
          <w:sz w:val="24"/>
        </w:rPr>
        <w:t xml:space="preserve"> </w:t>
      </w:r>
    </w:p>
    <w:p w14:paraId="46F52433" w14:textId="77777777" w:rsidR="005E7FB6" w:rsidRDefault="00385524">
      <w:pPr>
        <w:pStyle w:val="Heading2"/>
        <w:ind w:left="25" w:right="4"/>
        <w:jc w:val="center"/>
      </w:pPr>
      <w:bookmarkStart w:id="0" w:name="_GoBack"/>
      <w:r>
        <w:t xml:space="preserve">DETERMINATION OF MINIMAL RISK FOR CHILD RESEARCH </w:t>
      </w:r>
    </w:p>
    <w:bookmarkEnd w:id="0"/>
    <w:p w14:paraId="457A9849" w14:textId="77777777" w:rsidR="005E7FB6" w:rsidRDefault="00385524">
      <w:pPr>
        <w:spacing w:after="0" w:line="259" w:lineRule="auto"/>
        <w:ind w:left="1" w:firstLine="0"/>
      </w:pPr>
      <w:r>
        <w:rPr>
          <w:b/>
        </w:rPr>
        <w:t xml:space="preserve"> </w:t>
      </w:r>
    </w:p>
    <w:p w14:paraId="0B31079B" w14:textId="77777777" w:rsidR="005E7FB6" w:rsidRDefault="00385524">
      <w:pPr>
        <w:spacing w:after="0" w:line="259" w:lineRule="auto"/>
        <w:ind w:left="1" w:firstLine="0"/>
      </w:pPr>
      <w:r>
        <w:rPr>
          <w:b/>
        </w:rPr>
        <w:t xml:space="preserve"> </w:t>
      </w:r>
    </w:p>
    <w:p w14:paraId="72FD8C0A" w14:textId="77777777" w:rsidR="005E7FB6" w:rsidRDefault="00385524">
      <w:pPr>
        <w:spacing w:after="0" w:line="241" w:lineRule="auto"/>
        <w:ind w:left="-4"/>
      </w:pPr>
      <w:r>
        <w:t xml:space="preserve">Derived from a presentation by: Celia B. Fisher, Ph.D., and Susan Z. Kornetsky, M.P.H. </w:t>
      </w:r>
      <w:hyperlink r:id="rId7">
        <w:r>
          <w:rPr>
            <w:color w:val="0000FF"/>
            <w:u w:val="single" w:color="0000FF"/>
          </w:rPr>
          <w:t>5th Report for</w:t>
        </w:r>
      </w:hyperlink>
      <w:hyperlink r:id="rId8">
        <w:r>
          <w:rPr>
            <w:color w:val="0000FF"/>
          </w:rPr>
          <w:t xml:space="preserve"> </w:t>
        </w:r>
      </w:hyperlink>
      <w:hyperlink r:id="rId9">
        <w:r>
          <w:rPr>
            <w:color w:val="0000FF"/>
            <w:u w:val="single" w:color="0000FF"/>
          </w:rPr>
          <w:t>SACHRP Consideration Clarifying 45 CFR 46 Subpart D Definitions - January 31, 2005</w:t>
        </w:r>
      </w:hyperlink>
      <w:hyperlink r:id="rId10">
        <w:r>
          <w:t xml:space="preserve"> </w:t>
        </w:r>
      </w:hyperlink>
    </w:p>
    <w:p w14:paraId="03F24775" w14:textId="77777777" w:rsidR="005E7FB6" w:rsidRDefault="00385524">
      <w:pPr>
        <w:spacing w:after="0" w:line="259" w:lineRule="auto"/>
        <w:ind w:left="1" w:firstLine="0"/>
      </w:pPr>
      <w:r>
        <w:t xml:space="preserve"> </w:t>
      </w:r>
    </w:p>
    <w:p w14:paraId="00AC15AB" w14:textId="77777777" w:rsidR="005E7FB6" w:rsidRDefault="00385524">
      <w:pPr>
        <w:spacing w:after="0" w:line="259" w:lineRule="auto"/>
        <w:ind w:left="1" w:firstLine="0"/>
      </w:pPr>
      <w:r>
        <w:t xml:space="preserve"> </w:t>
      </w:r>
    </w:p>
    <w:p w14:paraId="64C80381" w14:textId="77777777" w:rsidR="005E7FB6" w:rsidRDefault="00385524">
      <w:pPr>
        <w:pStyle w:val="Heading2"/>
        <w:ind w:left="-4"/>
      </w:pPr>
      <w:r>
        <w:t xml:space="preserve">Reference Point for Uniform Definition </w:t>
      </w:r>
    </w:p>
    <w:p w14:paraId="683B6984" w14:textId="77777777" w:rsidR="005E7FB6" w:rsidRDefault="00385524">
      <w:pPr>
        <w:ind w:left="-4"/>
      </w:pPr>
      <w:r>
        <w:t xml:space="preserve">• The definition of “minimal risk” at 45 CFR 46.102(i) when applied to Subpart D should be interpreted  as those risks encountered by normal, average, healthy children living in safe environments in daily life or during the performance of routine physical or psychological examinations or tests. </w:t>
      </w:r>
    </w:p>
    <w:p w14:paraId="4A4BE9B5" w14:textId="77777777" w:rsidR="005E7FB6" w:rsidRDefault="00385524">
      <w:pPr>
        <w:spacing w:after="0" w:line="259" w:lineRule="auto"/>
        <w:ind w:left="1" w:firstLine="0"/>
      </w:pPr>
      <w:r>
        <w:t xml:space="preserve"> </w:t>
      </w:r>
    </w:p>
    <w:p w14:paraId="5D51AF27" w14:textId="77777777" w:rsidR="005E7FB6" w:rsidRDefault="00385524">
      <w:pPr>
        <w:pStyle w:val="Heading2"/>
        <w:ind w:left="-4"/>
      </w:pPr>
      <w:r>
        <w:t xml:space="preserve">Minimal Risk Should be Age indexed </w:t>
      </w:r>
    </w:p>
    <w:p w14:paraId="21B94250" w14:textId="77777777" w:rsidR="005E7FB6" w:rsidRDefault="00385524">
      <w:pPr>
        <w:ind w:left="-4"/>
      </w:pPr>
      <w:r>
        <w:t xml:space="preserve">• Evaluation of minimal risk under Subpart D should be indexed to the risks in daily life and routine medical and psychological examinations experienced by children the same age as the subject population. </w:t>
      </w:r>
    </w:p>
    <w:p w14:paraId="5B31B40E" w14:textId="77777777" w:rsidR="005E7FB6" w:rsidRDefault="00385524">
      <w:pPr>
        <w:spacing w:after="0" w:line="259" w:lineRule="auto"/>
        <w:ind w:left="1" w:firstLine="0"/>
      </w:pPr>
      <w:r>
        <w:t xml:space="preserve"> </w:t>
      </w:r>
    </w:p>
    <w:p w14:paraId="1CD55162" w14:textId="77777777" w:rsidR="005E7FB6" w:rsidRDefault="00385524">
      <w:pPr>
        <w:pStyle w:val="Heading2"/>
        <w:ind w:left="-4"/>
      </w:pPr>
      <w:r>
        <w:t xml:space="preserve">Upper Limits of Risk &amp; Harm </w:t>
      </w:r>
    </w:p>
    <w:p w14:paraId="3E9FDD57" w14:textId="77777777" w:rsidR="005E7FB6" w:rsidRDefault="00385524">
      <w:pPr>
        <w:ind w:left="-4"/>
      </w:pPr>
      <w:r>
        <w:t xml:space="preserve">• The uniform, age-indexed definition of minimal risk should represent the upper not lower limits of risk to which children can be exposed under §46.404. </w:t>
      </w:r>
    </w:p>
    <w:p w14:paraId="15FB2A0D" w14:textId="77777777" w:rsidR="005E7FB6" w:rsidRDefault="00385524">
      <w:pPr>
        <w:ind w:left="-4"/>
      </w:pPr>
      <w:r>
        <w:t xml:space="preserve">Rationale: Research procedures should not fall under §46.404 for children who because of health or other reasons would be at greater risk of harm from procedures which are minimal risk for normal, average, healthy children living in safe environments. </w:t>
      </w:r>
    </w:p>
    <w:p w14:paraId="5F88E739" w14:textId="77777777" w:rsidR="005E7FB6" w:rsidRDefault="00385524">
      <w:pPr>
        <w:spacing w:after="0" w:line="259" w:lineRule="auto"/>
        <w:ind w:left="1" w:firstLine="0"/>
      </w:pPr>
      <w:r>
        <w:t xml:space="preserve"> </w:t>
      </w:r>
    </w:p>
    <w:p w14:paraId="221B5FE2" w14:textId="77777777" w:rsidR="005E7FB6" w:rsidRDefault="00385524">
      <w:pPr>
        <w:spacing w:after="0" w:line="259" w:lineRule="auto"/>
        <w:ind w:left="1" w:firstLine="0"/>
      </w:pPr>
      <w:r>
        <w:t xml:space="preserve"> </w:t>
      </w:r>
    </w:p>
    <w:p w14:paraId="0F3A2357" w14:textId="77777777" w:rsidR="005E7FB6" w:rsidRDefault="00385524">
      <w:pPr>
        <w:pStyle w:val="Heading2"/>
        <w:ind w:left="-4"/>
      </w:pPr>
      <w:r>
        <w:t xml:space="preserve">Equivalent Procedures </w:t>
      </w:r>
    </w:p>
    <w:p w14:paraId="446A89F6" w14:textId="77777777" w:rsidR="005E7FB6" w:rsidRDefault="00385524">
      <w:pPr>
        <w:ind w:left="-4"/>
      </w:pPr>
      <w:r>
        <w:t xml:space="preserve">• Procedures that are equivalent in probability and magnitude of harm to risks of daily life or routine physical or psychological examinations or tests experienced by average, healthy, normal children living in safe environments should be considered as consistent with the definition of “minimal risk.” </w:t>
      </w:r>
    </w:p>
    <w:p w14:paraId="463B758A" w14:textId="77777777" w:rsidR="005E7FB6" w:rsidRDefault="00385524">
      <w:pPr>
        <w:spacing w:after="0" w:line="259" w:lineRule="auto"/>
        <w:ind w:left="1" w:firstLine="0"/>
      </w:pPr>
      <w:r>
        <w:rPr>
          <w:b/>
        </w:rPr>
        <w:t xml:space="preserve"> </w:t>
      </w:r>
    </w:p>
    <w:p w14:paraId="7218FA6F" w14:textId="77777777" w:rsidR="005E7FB6" w:rsidRDefault="00385524">
      <w:pPr>
        <w:pStyle w:val="Heading2"/>
        <w:ind w:left="-4"/>
      </w:pPr>
      <w:r>
        <w:t xml:space="preserve">Equivalence Criteria </w:t>
      </w:r>
    </w:p>
    <w:p w14:paraId="434C6338" w14:textId="77777777" w:rsidR="005E7FB6" w:rsidRDefault="00385524">
      <w:pPr>
        <w:ind w:left="-4"/>
      </w:pPr>
      <w:r>
        <w:t xml:space="preserve">• Is the probability and magnitude of harm equivalent in: </w:t>
      </w:r>
    </w:p>
    <w:p w14:paraId="64872E96" w14:textId="77777777" w:rsidR="005E7FB6" w:rsidRDefault="00385524">
      <w:pPr>
        <w:tabs>
          <w:tab w:val="center" w:pos="1081"/>
        </w:tabs>
        <w:ind w:left="-14" w:firstLine="0"/>
      </w:pPr>
      <w:r>
        <w:t xml:space="preserve"> </w:t>
      </w:r>
      <w:r>
        <w:tab/>
        <w:t xml:space="preserve">duration </w:t>
      </w:r>
    </w:p>
    <w:p w14:paraId="31132921" w14:textId="77777777" w:rsidR="005E7FB6" w:rsidRDefault="00385524">
      <w:pPr>
        <w:ind w:left="-4" w:right="5278"/>
      </w:pPr>
      <w:r>
        <w:t xml:space="preserve"> </w:t>
      </w:r>
      <w:r>
        <w:tab/>
        <w:t xml:space="preserve">cumulative characteristics  </w:t>
      </w:r>
      <w:r>
        <w:tab/>
        <w:t xml:space="preserve">reversibility of harm </w:t>
      </w:r>
    </w:p>
    <w:p w14:paraId="471D9B66" w14:textId="77777777" w:rsidR="005E7FB6" w:rsidRDefault="00385524">
      <w:pPr>
        <w:tabs>
          <w:tab w:val="center" w:pos="2604"/>
        </w:tabs>
        <w:ind w:left="-14" w:firstLine="0"/>
      </w:pPr>
      <w:r>
        <w:t xml:space="preserve"> </w:t>
      </w:r>
      <w:r>
        <w:tab/>
        <w:t xml:space="preserve">to risks of daily life or routine examinations </w:t>
      </w:r>
    </w:p>
    <w:p w14:paraId="55DF6BAC" w14:textId="77777777" w:rsidR="005E7FB6" w:rsidRDefault="00385524">
      <w:pPr>
        <w:spacing w:after="0" w:line="259" w:lineRule="auto"/>
        <w:ind w:left="1" w:firstLine="0"/>
      </w:pPr>
      <w:r>
        <w:t xml:space="preserve"> </w:t>
      </w:r>
    </w:p>
    <w:p w14:paraId="77329A98" w14:textId="77777777" w:rsidR="005E7FB6" w:rsidRDefault="00385524">
      <w:pPr>
        <w:pStyle w:val="Heading2"/>
        <w:ind w:left="-4"/>
      </w:pPr>
      <w:r>
        <w:t>Examples of Well-Child Procedures [From April, 2005 SACHRP presentation;</w:t>
      </w:r>
      <w:r>
        <w:rPr>
          <w:b w:val="0"/>
        </w:rPr>
        <w:t xml:space="preserve"> </w:t>
      </w:r>
      <w:r>
        <w:t xml:space="preserve">IOM, 2004; 4.9-4.10] </w:t>
      </w:r>
    </w:p>
    <w:p w14:paraId="6B61B5BF" w14:textId="77777777" w:rsidR="005E7FB6" w:rsidRDefault="00385524">
      <w:pPr>
        <w:numPr>
          <w:ilvl w:val="0"/>
          <w:numId w:val="5"/>
        </w:numPr>
        <w:ind w:hanging="125"/>
      </w:pPr>
      <w:r>
        <w:t xml:space="preserve">Physical examinations </w:t>
      </w:r>
    </w:p>
    <w:p w14:paraId="1E865C65" w14:textId="77777777" w:rsidR="005E7FB6" w:rsidRDefault="00385524">
      <w:pPr>
        <w:numPr>
          <w:ilvl w:val="0"/>
          <w:numId w:val="5"/>
        </w:numPr>
        <w:ind w:hanging="125"/>
      </w:pPr>
      <w:r>
        <w:t xml:space="preserve">Measurement of height, weight, head circumference </w:t>
      </w:r>
    </w:p>
    <w:p w14:paraId="239359D9" w14:textId="77777777" w:rsidR="005E7FB6" w:rsidRDefault="00385524">
      <w:pPr>
        <w:numPr>
          <w:ilvl w:val="0"/>
          <w:numId w:val="5"/>
        </w:numPr>
        <w:ind w:hanging="125"/>
      </w:pPr>
      <w:r>
        <w:t xml:space="preserve">Assessment of obesity with skin-fold calipers </w:t>
      </w:r>
    </w:p>
    <w:p w14:paraId="66EA946D" w14:textId="77777777" w:rsidR="005E7FB6" w:rsidRDefault="00385524">
      <w:pPr>
        <w:numPr>
          <w:ilvl w:val="0"/>
          <w:numId w:val="5"/>
        </w:numPr>
        <w:ind w:hanging="125"/>
      </w:pPr>
      <w:r>
        <w:t xml:space="preserve">Collection of blood or voided urine </w:t>
      </w:r>
    </w:p>
    <w:p w14:paraId="504CF516" w14:textId="77777777" w:rsidR="005E7FB6" w:rsidRDefault="00385524">
      <w:pPr>
        <w:numPr>
          <w:ilvl w:val="0"/>
          <w:numId w:val="5"/>
        </w:numPr>
        <w:ind w:hanging="125"/>
      </w:pPr>
      <w:r>
        <w:t xml:space="preserve">Measurement of heart rate and blood pressure </w:t>
      </w:r>
    </w:p>
    <w:p w14:paraId="33631E84" w14:textId="77777777" w:rsidR="005E7FB6" w:rsidRDefault="00385524">
      <w:pPr>
        <w:numPr>
          <w:ilvl w:val="0"/>
          <w:numId w:val="5"/>
        </w:numPr>
        <w:ind w:hanging="125"/>
      </w:pPr>
      <w:r>
        <w:t xml:space="preserve">Hearing and vision tests </w:t>
      </w:r>
    </w:p>
    <w:p w14:paraId="7C967967" w14:textId="77777777" w:rsidR="005E7FB6" w:rsidRDefault="00385524">
      <w:pPr>
        <w:numPr>
          <w:ilvl w:val="0"/>
          <w:numId w:val="5"/>
        </w:numPr>
        <w:ind w:hanging="125"/>
      </w:pPr>
      <w:r>
        <w:t xml:space="preserve">Modest changes in diet or schedule </w:t>
      </w:r>
    </w:p>
    <w:p w14:paraId="33BC6140" w14:textId="77777777" w:rsidR="005E7FB6" w:rsidRDefault="00385524">
      <w:pPr>
        <w:numPr>
          <w:ilvl w:val="0"/>
          <w:numId w:val="5"/>
        </w:numPr>
        <w:ind w:hanging="125"/>
      </w:pPr>
      <w:r>
        <w:t xml:space="preserve">Testing of fine and gross motor development </w:t>
      </w:r>
    </w:p>
    <w:p w14:paraId="5CEB9F67" w14:textId="77777777" w:rsidR="005E7FB6" w:rsidRDefault="00385524">
      <w:pPr>
        <w:numPr>
          <w:ilvl w:val="0"/>
          <w:numId w:val="5"/>
        </w:numPr>
        <w:ind w:hanging="125"/>
      </w:pPr>
      <w:r>
        <w:t xml:space="preserve">Non-invasive physiological monitoring </w:t>
      </w:r>
    </w:p>
    <w:p w14:paraId="564F1360" w14:textId="77777777" w:rsidR="005E7FB6" w:rsidRDefault="00385524">
      <w:pPr>
        <w:numPr>
          <w:ilvl w:val="0"/>
          <w:numId w:val="5"/>
        </w:numPr>
        <w:ind w:hanging="125"/>
      </w:pPr>
      <w:r>
        <w:t xml:space="preserve">Medical and social history </w:t>
      </w:r>
    </w:p>
    <w:p w14:paraId="32A7255D" w14:textId="77777777" w:rsidR="005E7FB6" w:rsidRDefault="00385524">
      <w:pPr>
        <w:numPr>
          <w:ilvl w:val="0"/>
          <w:numId w:val="5"/>
        </w:numPr>
        <w:ind w:hanging="125"/>
      </w:pPr>
      <w:r>
        <w:t xml:space="preserve">Psychological examinations or tests </w:t>
      </w:r>
    </w:p>
    <w:p w14:paraId="5151324E" w14:textId="77777777" w:rsidR="005E7FB6" w:rsidRDefault="00385524">
      <w:pPr>
        <w:numPr>
          <w:ilvl w:val="0"/>
          <w:numId w:val="5"/>
        </w:numPr>
        <w:ind w:hanging="125"/>
      </w:pPr>
      <w:r>
        <w:lastRenderedPageBreak/>
        <w:t xml:space="preserve">Guidance and education (for the child, the parents, or both) </w:t>
      </w:r>
    </w:p>
    <w:p w14:paraId="3303CC27" w14:textId="77777777" w:rsidR="005E7FB6" w:rsidRDefault="00385524">
      <w:pPr>
        <w:spacing w:after="0" w:line="259" w:lineRule="auto"/>
        <w:ind w:left="1" w:firstLine="0"/>
      </w:pPr>
      <w:r>
        <w:t xml:space="preserve"> </w:t>
      </w:r>
    </w:p>
    <w:p w14:paraId="33BBCAA3" w14:textId="77777777" w:rsidR="005E7FB6" w:rsidRDefault="00385524">
      <w:pPr>
        <w:pStyle w:val="Heading2"/>
        <w:ind w:left="-4"/>
      </w:pPr>
      <w:r>
        <w:t xml:space="preserve">Routine Psychological Tests Indexed to Standardized Screening or Assessment Measures  </w:t>
      </w:r>
    </w:p>
    <w:p w14:paraId="46599A38" w14:textId="77777777" w:rsidR="005E7FB6" w:rsidRDefault="00385524">
      <w:pPr>
        <w:numPr>
          <w:ilvl w:val="0"/>
          <w:numId w:val="6"/>
        </w:numPr>
        <w:ind w:hanging="180"/>
      </w:pPr>
      <w:r>
        <w:t xml:space="preserve">Child and adolescent intelligence tests </w:t>
      </w:r>
    </w:p>
    <w:p w14:paraId="767E295C" w14:textId="77777777" w:rsidR="005E7FB6" w:rsidRDefault="00385524">
      <w:pPr>
        <w:numPr>
          <w:ilvl w:val="0"/>
          <w:numId w:val="6"/>
        </w:numPr>
        <w:ind w:hanging="180"/>
      </w:pPr>
      <w:r>
        <w:t xml:space="preserve">Infant mental and motor scales </w:t>
      </w:r>
    </w:p>
    <w:p w14:paraId="6105B883" w14:textId="77777777" w:rsidR="005E7FB6" w:rsidRDefault="00385524">
      <w:pPr>
        <w:numPr>
          <w:ilvl w:val="0"/>
          <w:numId w:val="6"/>
        </w:numPr>
        <w:ind w:hanging="180"/>
      </w:pPr>
      <w:r>
        <w:t xml:space="preserve">Educational tests / Reading and math ability tests </w:t>
      </w:r>
    </w:p>
    <w:p w14:paraId="338470CD" w14:textId="77777777" w:rsidR="005E7FB6" w:rsidRDefault="00385524">
      <w:pPr>
        <w:numPr>
          <w:ilvl w:val="0"/>
          <w:numId w:val="6"/>
        </w:numPr>
        <w:ind w:hanging="180"/>
      </w:pPr>
      <w:r>
        <w:t xml:space="preserve">Neurological or motor disorders </w:t>
      </w:r>
    </w:p>
    <w:p w14:paraId="7AE841EF" w14:textId="77777777" w:rsidR="005E7FB6" w:rsidRDefault="00385524">
      <w:pPr>
        <w:numPr>
          <w:ilvl w:val="0"/>
          <w:numId w:val="6"/>
        </w:numPr>
        <w:ind w:hanging="180"/>
      </w:pPr>
      <w:r>
        <w:t xml:space="preserve">Social development </w:t>
      </w:r>
    </w:p>
    <w:p w14:paraId="3B366962" w14:textId="77777777" w:rsidR="005E7FB6" w:rsidRDefault="00385524">
      <w:pPr>
        <w:numPr>
          <w:ilvl w:val="0"/>
          <w:numId w:val="6"/>
        </w:numPr>
        <w:ind w:hanging="180"/>
      </w:pPr>
      <w:r>
        <w:t xml:space="preserve">Family and peer relationships </w:t>
      </w:r>
    </w:p>
    <w:p w14:paraId="31759C4F" w14:textId="77777777" w:rsidR="005E7FB6" w:rsidRDefault="00385524">
      <w:pPr>
        <w:numPr>
          <w:ilvl w:val="0"/>
          <w:numId w:val="6"/>
        </w:numPr>
        <w:ind w:hanging="180"/>
      </w:pPr>
      <w:r>
        <w:t xml:space="preserve">Emotional regulation </w:t>
      </w:r>
    </w:p>
    <w:p w14:paraId="07FA5606" w14:textId="77777777" w:rsidR="005E7FB6" w:rsidRDefault="00385524">
      <w:pPr>
        <w:numPr>
          <w:ilvl w:val="0"/>
          <w:numId w:val="6"/>
        </w:numPr>
        <w:ind w:hanging="180"/>
      </w:pPr>
      <w:r>
        <w:t xml:space="preserve">Feelings of  sadness or hopelessness </w:t>
      </w:r>
    </w:p>
    <w:p w14:paraId="29C2D70F" w14:textId="77777777" w:rsidR="005E7FB6" w:rsidRDefault="00385524">
      <w:pPr>
        <w:spacing w:after="0" w:line="259" w:lineRule="auto"/>
        <w:ind w:left="1" w:firstLine="0"/>
      </w:pPr>
      <w:r>
        <w:t xml:space="preserve"> </w:t>
      </w:r>
    </w:p>
    <w:p w14:paraId="32C11ABD" w14:textId="77777777" w:rsidR="005E7FB6" w:rsidRDefault="00385524">
      <w:pPr>
        <w:spacing w:after="0" w:line="259" w:lineRule="auto"/>
        <w:ind w:left="1" w:firstLine="0"/>
      </w:pPr>
      <w:r>
        <w:t xml:space="preserve"> </w:t>
      </w:r>
    </w:p>
    <w:p w14:paraId="352B98A8" w14:textId="77777777" w:rsidR="005E7FB6" w:rsidRDefault="00385524">
      <w:pPr>
        <w:pStyle w:val="Heading2"/>
        <w:ind w:left="25" w:right="3"/>
        <w:jc w:val="center"/>
      </w:pPr>
      <w:r>
        <w:t xml:space="preserve">DETERMINATION OF MINOR INCREASE OVER MINIMAL RISK FOR CHILD RESEARCH </w:t>
      </w:r>
    </w:p>
    <w:p w14:paraId="648C3042" w14:textId="77777777" w:rsidR="005E7FB6" w:rsidRDefault="00385524">
      <w:pPr>
        <w:spacing w:after="0" w:line="259" w:lineRule="auto"/>
        <w:ind w:left="1" w:firstLine="0"/>
      </w:pPr>
      <w:r>
        <w:t xml:space="preserve"> </w:t>
      </w:r>
    </w:p>
    <w:p w14:paraId="71243BE6" w14:textId="77777777" w:rsidR="005E7FB6" w:rsidRDefault="00385524">
      <w:pPr>
        <w:spacing w:after="0" w:line="259" w:lineRule="auto"/>
        <w:ind w:left="1" w:firstLine="0"/>
      </w:pPr>
      <w:r>
        <w:t xml:space="preserve"> </w:t>
      </w:r>
    </w:p>
    <w:p w14:paraId="161AE44A" w14:textId="77777777" w:rsidR="005E7FB6" w:rsidRDefault="00385524">
      <w:pPr>
        <w:spacing w:after="0" w:line="241" w:lineRule="auto"/>
        <w:ind w:left="-4"/>
      </w:pPr>
      <w:r>
        <w:t xml:space="preserve">Derived from a presentation by: Celia B. Fisher, Ph.D., and Susan Z. Kornetsky, M.P.H. </w:t>
      </w:r>
      <w:hyperlink r:id="rId11">
        <w:r>
          <w:rPr>
            <w:color w:val="0000FF"/>
            <w:u w:val="single" w:color="0000FF"/>
          </w:rPr>
          <w:t>5th Report for</w:t>
        </w:r>
      </w:hyperlink>
      <w:hyperlink r:id="rId12">
        <w:r>
          <w:rPr>
            <w:color w:val="0000FF"/>
          </w:rPr>
          <w:t xml:space="preserve"> </w:t>
        </w:r>
      </w:hyperlink>
      <w:hyperlink r:id="rId13">
        <w:r>
          <w:rPr>
            <w:color w:val="0000FF"/>
            <w:u w:val="single" w:color="0000FF"/>
          </w:rPr>
          <w:t>SACHRP Consideration Clarifying 45 CFR 46 Subpart D Definitions - January 31, 2005</w:t>
        </w:r>
      </w:hyperlink>
      <w:hyperlink r:id="rId14">
        <w:r>
          <w:t xml:space="preserve"> </w:t>
        </w:r>
      </w:hyperlink>
    </w:p>
    <w:p w14:paraId="20B49691" w14:textId="77777777" w:rsidR="005E7FB6" w:rsidRDefault="00385524">
      <w:pPr>
        <w:spacing w:after="0" w:line="259" w:lineRule="auto"/>
        <w:ind w:left="1" w:firstLine="0"/>
      </w:pPr>
      <w:r>
        <w:t xml:space="preserve"> </w:t>
      </w:r>
    </w:p>
    <w:p w14:paraId="4B010E8B" w14:textId="77777777" w:rsidR="005E7FB6" w:rsidRDefault="00385524">
      <w:pPr>
        <w:pStyle w:val="Heading2"/>
        <w:ind w:left="-4"/>
      </w:pPr>
      <w:r>
        <w:t xml:space="preserve">Determining Minor Increase Over Minimal Risk </w:t>
      </w:r>
    </w:p>
    <w:p w14:paraId="0297CA7C" w14:textId="77777777" w:rsidR="005E7FB6" w:rsidRDefault="00385524">
      <w:pPr>
        <w:numPr>
          <w:ilvl w:val="0"/>
          <w:numId w:val="7"/>
        </w:numPr>
      </w:pPr>
      <w:r>
        <w:t xml:space="preserve">Applying a uniform procedure for assessing whether a research presents a minor increase over minimal risk requires evaluating the risk along 10 different criteria. </w:t>
      </w:r>
    </w:p>
    <w:p w14:paraId="143F9E50" w14:textId="77777777" w:rsidR="005E7FB6" w:rsidRDefault="00385524">
      <w:pPr>
        <w:numPr>
          <w:ilvl w:val="0"/>
          <w:numId w:val="7"/>
        </w:numPr>
      </w:pPr>
      <w:r>
        <w:t xml:space="preserve">Rationale. Methods, compounds, instruments and other research procedures are so variable that a single quantitative unit of increase cannot be uniformly applied. However, there is a uniform process of evaluation that can be applied. </w:t>
      </w:r>
    </w:p>
    <w:p w14:paraId="67A91D6F" w14:textId="77777777" w:rsidR="005E7FB6" w:rsidRDefault="00385524">
      <w:pPr>
        <w:spacing w:after="0" w:line="259" w:lineRule="auto"/>
        <w:ind w:left="1" w:firstLine="0"/>
      </w:pPr>
      <w:r>
        <w:t xml:space="preserve"> </w:t>
      </w:r>
    </w:p>
    <w:p w14:paraId="5DDB08E8" w14:textId="77777777" w:rsidR="005E7FB6" w:rsidRDefault="00385524">
      <w:pPr>
        <w:pStyle w:val="Heading2"/>
        <w:ind w:left="-4"/>
      </w:pPr>
      <w:r>
        <w:t xml:space="preserve">List of Uniform Criteria for Determining a Minor Increase Over Minimal Risk </w:t>
      </w:r>
    </w:p>
    <w:p w14:paraId="36F1A777" w14:textId="77777777" w:rsidR="005E7FB6" w:rsidRDefault="00385524">
      <w:pPr>
        <w:numPr>
          <w:ilvl w:val="0"/>
          <w:numId w:val="8"/>
        </w:numPr>
        <w:ind w:hanging="333"/>
      </w:pPr>
      <w:r>
        <w:t xml:space="preserve">Minimal Risk Comparison </w:t>
      </w:r>
    </w:p>
    <w:p w14:paraId="6FB24B62" w14:textId="77777777" w:rsidR="005E7FB6" w:rsidRDefault="00385524">
      <w:pPr>
        <w:numPr>
          <w:ilvl w:val="0"/>
          <w:numId w:val="8"/>
        </w:numPr>
        <w:ind w:hanging="333"/>
      </w:pPr>
      <w:r>
        <w:t xml:space="preserve">Scientific Evidence of Risk </w:t>
      </w:r>
    </w:p>
    <w:p w14:paraId="2602CF90" w14:textId="77777777" w:rsidR="005E7FB6" w:rsidRDefault="00385524">
      <w:pPr>
        <w:numPr>
          <w:ilvl w:val="0"/>
          <w:numId w:val="8"/>
        </w:numPr>
        <w:ind w:hanging="333"/>
      </w:pPr>
      <w:r>
        <w:t xml:space="preserve">Certainty of Evidence </w:t>
      </w:r>
    </w:p>
    <w:p w14:paraId="54E17C96" w14:textId="77777777" w:rsidR="005E7FB6" w:rsidRDefault="00385524">
      <w:pPr>
        <w:numPr>
          <w:ilvl w:val="0"/>
          <w:numId w:val="8"/>
        </w:numPr>
        <w:ind w:hanging="333"/>
      </w:pPr>
      <w:r>
        <w:t xml:space="preserve">Documented Harms </w:t>
      </w:r>
    </w:p>
    <w:p w14:paraId="697565F3" w14:textId="77777777" w:rsidR="005E7FB6" w:rsidRDefault="00385524">
      <w:pPr>
        <w:numPr>
          <w:ilvl w:val="0"/>
          <w:numId w:val="8"/>
        </w:numPr>
        <w:ind w:hanging="333"/>
      </w:pPr>
      <w:r>
        <w:t xml:space="preserve">Equivalence of Procedures </w:t>
      </w:r>
    </w:p>
    <w:p w14:paraId="57D504DA" w14:textId="77777777" w:rsidR="005E7FB6" w:rsidRDefault="00385524">
      <w:pPr>
        <w:numPr>
          <w:ilvl w:val="0"/>
          <w:numId w:val="8"/>
        </w:numPr>
        <w:ind w:hanging="333"/>
      </w:pPr>
      <w:r>
        <w:t xml:space="preserve">Participant Perspectives </w:t>
      </w:r>
    </w:p>
    <w:p w14:paraId="2227F66A" w14:textId="77777777" w:rsidR="005E7FB6" w:rsidRDefault="00385524">
      <w:pPr>
        <w:numPr>
          <w:ilvl w:val="0"/>
          <w:numId w:val="8"/>
        </w:numPr>
        <w:ind w:hanging="333"/>
      </w:pPr>
      <w:r>
        <w:t xml:space="preserve">Mitigating Factors </w:t>
      </w:r>
    </w:p>
    <w:p w14:paraId="72250477" w14:textId="77777777" w:rsidR="005E7FB6" w:rsidRDefault="00385524">
      <w:pPr>
        <w:numPr>
          <w:ilvl w:val="0"/>
          <w:numId w:val="8"/>
        </w:numPr>
        <w:ind w:hanging="333"/>
      </w:pPr>
      <w:r>
        <w:t xml:space="preserve">Inclusion/Exclusion Criteria </w:t>
      </w:r>
    </w:p>
    <w:p w14:paraId="11293FC5" w14:textId="77777777" w:rsidR="005E7FB6" w:rsidRDefault="00385524">
      <w:pPr>
        <w:numPr>
          <w:ilvl w:val="0"/>
          <w:numId w:val="8"/>
        </w:numPr>
        <w:ind w:hanging="333"/>
      </w:pPr>
      <w:r>
        <w:t xml:space="preserve">Monitoring </w:t>
      </w:r>
    </w:p>
    <w:p w14:paraId="768029D3" w14:textId="77777777" w:rsidR="005E7FB6" w:rsidRDefault="00385524">
      <w:pPr>
        <w:numPr>
          <w:ilvl w:val="0"/>
          <w:numId w:val="8"/>
        </w:numPr>
        <w:ind w:hanging="333"/>
      </w:pPr>
      <w:r>
        <w:t xml:space="preserve">Safety &amp; Competence </w:t>
      </w:r>
    </w:p>
    <w:p w14:paraId="2DD18BE0" w14:textId="77777777" w:rsidR="005E7FB6" w:rsidRDefault="00385524">
      <w:pPr>
        <w:spacing w:after="0" w:line="259" w:lineRule="auto"/>
        <w:ind w:left="1" w:firstLine="0"/>
      </w:pPr>
      <w:r>
        <w:t xml:space="preserve"> </w:t>
      </w:r>
    </w:p>
    <w:p w14:paraId="5AEFCC8B" w14:textId="77777777" w:rsidR="005E7FB6" w:rsidRDefault="00385524">
      <w:pPr>
        <w:pStyle w:val="Heading2"/>
        <w:ind w:left="-4"/>
      </w:pPr>
      <w:r>
        <w:t xml:space="preserve">1.  Minimal Risk Comparison </w:t>
      </w:r>
    </w:p>
    <w:p w14:paraId="3C86C4DE" w14:textId="77777777" w:rsidR="005E7FB6" w:rsidRDefault="00385524">
      <w:pPr>
        <w:numPr>
          <w:ilvl w:val="0"/>
          <w:numId w:val="9"/>
        </w:numPr>
        <w:ind w:hanging="125"/>
      </w:pPr>
      <w:r>
        <w:t xml:space="preserve">The procedure does not meet minimal risk criteria </w:t>
      </w:r>
    </w:p>
    <w:p w14:paraId="193B405C" w14:textId="77777777" w:rsidR="005E7FB6" w:rsidRDefault="00385524">
      <w:pPr>
        <w:numPr>
          <w:ilvl w:val="0"/>
          <w:numId w:val="9"/>
        </w:numPr>
        <w:ind w:hanging="125"/>
      </w:pPr>
      <w:r>
        <w:t xml:space="preserve">The probability and magnitude of harm or discomfort anticipated in the research is greater than those  ordinarily encountered by normal, average, healthy children living in safe environments in their daily activities or during the performance of routine physical or psychological examinations or tests. </w:t>
      </w:r>
    </w:p>
    <w:p w14:paraId="1120B662" w14:textId="77777777" w:rsidR="005E7FB6" w:rsidRDefault="00385524">
      <w:pPr>
        <w:spacing w:after="0" w:line="259" w:lineRule="auto"/>
        <w:ind w:left="1" w:firstLine="0"/>
      </w:pPr>
      <w:r>
        <w:t xml:space="preserve"> </w:t>
      </w:r>
    </w:p>
    <w:p w14:paraId="2F01807B" w14:textId="77777777" w:rsidR="005E7FB6" w:rsidRDefault="00385524">
      <w:pPr>
        <w:pStyle w:val="Heading2"/>
        <w:ind w:left="-4"/>
      </w:pPr>
      <w:r>
        <w:t xml:space="preserve">2.  Scientific Evidence of Risk </w:t>
      </w:r>
    </w:p>
    <w:p w14:paraId="67AAAEF8" w14:textId="77777777" w:rsidR="005E7FB6" w:rsidRDefault="00385524">
      <w:pPr>
        <w:numPr>
          <w:ilvl w:val="0"/>
          <w:numId w:val="10"/>
        </w:numPr>
      </w:pPr>
      <w:r>
        <w:t xml:space="preserve">There is peer reviewed scientific evidence of the range of risks associated with the procedure for the subject population, OR </w:t>
      </w:r>
    </w:p>
    <w:p w14:paraId="1A075A74" w14:textId="77777777" w:rsidR="005E7FB6" w:rsidRDefault="00385524">
      <w:pPr>
        <w:numPr>
          <w:ilvl w:val="0"/>
          <w:numId w:val="10"/>
        </w:numPr>
      </w:pPr>
      <w:r>
        <w:t xml:space="preserve">The procedure is sufficiently similar to other interventions with well characterized risks that prudent, informed judgments about risks can be made. </w:t>
      </w:r>
    </w:p>
    <w:p w14:paraId="2725DF5F" w14:textId="77777777" w:rsidR="005E7FB6" w:rsidRDefault="00385524">
      <w:pPr>
        <w:spacing w:after="0" w:line="259" w:lineRule="auto"/>
        <w:ind w:left="1" w:firstLine="0"/>
      </w:pPr>
      <w:r>
        <w:t xml:space="preserve"> </w:t>
      </w:r>
    </w:p>
    <w:p w14:paraId="72F70112" w14:textId="77777777" w:rsidR="005E7FB6" w:rsidRDefault="00385524">
      <w:pPr>
        <w:pStyle w:val="Heading2"/>
        <w:ind w:left="-4"/>
      </w:pPr>
      <w:r>
        <w:t xml:space="preserve">3. Certainty of Evidence </w:t>
      </w:r>
    </w:p>
    <w:p w14:paraId="08F10D46" w14:textId="77777777" w:rsidR="005E7FB6" w:rsidRDefault="00385524">
      <w:pPr>
        <w:numPr>
          <w:ilvl w:val="0"/>
          <w:numId w:val="11"/>
        </w:numPr>
      </w:pPr>
      <w:r>
        <w:t xml:space="preserve">The extent and quality of the evidence is such that there is little uncertainty about the range of risks involved. </w:t>
      </w:r>
    </w:p>
    <w:p w14:paraId="2296E21D" w14:textId="77777777" w:rsidR="005E7FB6" w:rsidRDefault="00385524">
      <w:pPr>
        <w:numPr>
          <w:ilvl w:val="0"/>
          <w:numId w:val="11"/>
        </w:numPr>
      </w:pPr>
      <w:r>
        <w:lastRenderedPageBreak/>
        <w:t xml:space="preserve">Lack of sufficient data for a risk profile would create a higher level of uncertainty supporting a more conservative approach to judgments that a procedure is only a minor increment over minimal risk </w:t>
      </w:r>
    </w:p>
    <w:p w14:paraId="116D4868" w14:textId="77777777" w:rsidR="005E7FB6" w:rsidRDefault="00385524">
      <w:pPr>
        <w:spacing w:after="0" w:line="259" w:lineRule="auto"/>
        <w:ind w:left="1" w:firstLine="0"/>
      </w:pPr>
      <w:r>
        <w:t xml:space="preserve"> </w:t>
      </w:r>
    </w:p>
    <w:p w14:paraId="287F7767" w14:textId="77777777" w:rsidR="005E7FB6" w:rsidRDefault="00385524">
      <w:pPr>
        <w:pStyle w:val="Heading2"/>
        <w:ind w:left="-4"/>
      </w:pPr>
      <w:r>
        <w:t xml:space="preserve">4. Documented Harms </w:t>
      </w:r>
    </w:p>
    <w:p w14:paraId="3D14780B" w14:textId="77777777" w:rsidR="005E7FB6" w:rsidRDefault="00385524">
      <w:pPr>
        <w:numPr>
          <w:ilvl w:val="0"/>
          <w:numId w:val="12"/>
        </w:numPr>
        <w:ind w:hanging="125"/>
      </w:pPr>
      <w:r>
        <w:t xml:space="preserve">The documented harms are not serious for the subject population </w:t>
      </w:r>
    </w:p>
    <w:p w14:paraId="554E1EBA" w14:textId="77777777" w:rsidR="005E7FB6" w:rsidRDefault="00385524">
      <w:pPr>
        <w:numPr>
          <w:ilvl w:val="0"/>
          <w:numId w:val="12"/>
        </w:numPr>
        <w:ind w:hanging="125"/>
      </w:pPr>
      <w:r>
        <w:t xml:space="preserve">The data indicates no or an extremely small probability of risk of major complications. </w:t>
      </w:r>
    </w:p>
    <w:p w14:paraId="30FDB284" w14:textId="77777777" w:rsidR="005E7FB6" w:rsidRDefault="00385524">
      <w:pPr>
        <w:numPr>
          <w:ilvl w:val="0"/>
          <w:numId w:val="12"/>
        </w:numPr>
        <w:ind w:hanging="125"/>
      </w:pPr>
      <w:r>
        <w:t xml:space="preserve">Harms associated with the procedure do not require in-patient monitoring or follow-up evaluation (for the procedure itself) </w:t>
      </w:r>
    </w:p>
    <w:p w14:paraId="0FB64FD7" w14:textId="77777777" w:rsidR="005E7FB6" w:rsidRDefault="00385524">
      <w:pPr>
        <w:numPr>
          <w:ilvl w:val="0"/>
          <w:numId w:val="12"/>
        </w:numPr>
        <w:ind w:hanging="125"/>
      </w:pPr>
      <w:r>
        <w:t xml:space="preserve">The harms if they occur are transient and reversible </w:t>
      </w:r>
    </w:p>
    <w:p w14:paraId="6021B56F" w14:textId="77777777" w:rsidR="005E7FB6" w:rsidRDefault="00385524">
      <w:pPr>
        <w:spacing w:after="0" w:line="259" w:lineRule="auto"/>
        <w:ind w:left="1" w:firstLine="0"/>
      </w:pPr>
      <w:r>
        <w:t xml:space="preserve"> </w:t>
      </w:r>
    </w:p>
    <w:p w14:paraId="083A445C" w14:textId="77777777" w:rsidR="005E7FB6" w:rsidRDefault="00385524">
      <w:pPr>
        <w:pStyle w:val="Heading2"/>
        <w:ind w:left="-4"/>
      </w:pPr>
      <w:r>
        <w:t xml:space="preserve">5. Transient &amp; Reversible </w:t>
      </w:r>
    </w:p>
    <w:p w14:paraId="3E5D3984" w14:textId="77777777" w:rsidR="005E7FB6" w:rsidRDefault="00385524">
      <w:pPr>
        <w:numPr>
          <w:ilvl w:val="0"/>
          <w:numId w:val="13"/>
        </w:numPr>
        <w:ind w:left="846" w:hanging="125"/>
      </w:pPr>
      <w:r>
        <w:t xml:space="preserve">Transient:  Restricted to time of procedure or short post-experimental period </w:t>
      </w:r>
    </w:p>
    <w:p w14:paraId="19744A5B" w14:textId="77777777" w:rsidR="005E7FB6" w:rsidRDefault="00385524">
      <w:pPr>
        <w:numPr>
          <w:ilvl w:val="0"/>
          <w:numId w:val="13"/>
        </w:numPr>
        <w:ind w:left="846" w:hanging="125"/>
      </w:pPr>
      <w:r>
        <w:t xml:space="preserve">Reversible: Procedure to reverse the effect requires no more than a short-term simple clinical intervention </w:t>
      </w:r>
    </w:p>
    <w:p w14:paraId="1D5550E3" w14:textId="77777777" w:rsidR="005E7FB6" w:rsidRDefault="00385524">
      <w:pPr>
        <w:spacing w:after="0" w:line="259" w:lineRule="auto"/>
        <w:ind w:left="1" w:firstLine="0"/>
      </w:pPr>
      <w:r>
        <w:t xml:space="preserve"> </w:t>
      </w:r>
    </w:p>
    <w:p w14:paraId="6D0CE768" w14:textId="77777777" w:rsidR="005E7FB6" w:rsidRDefault="00385524">
      <w:pPr>
        <w:pStyle w:val="Heading2"/>
        <w:ind w:left="-4"/>
      </w:pPr>
      <w:r>
        <w:t xml:space="preserve">5. Equivalence of Procedures </w:t>
      </w:r>
    </w:p>
    <w:p w14:paraId="231683E8" w14:textId="77777777" w:rsidR="005E7FB6" w:rsidRDefault="00385524">
      <w:pPr>
        <w:ind w:left="731"/>
      </w:pPr>
      <w:r>
        <w:t xml:space="preserve">• The procedures are equivalent in risk to documented risk profiles in terms of </w:t>
      </w:r>
    </w:p>
    <w:p w14:paraId="31CF3053" w14:textId="77777777" w:rsidR="005E7FB6" w:rsidRDefault="00385524">
      <w:pPr>
        <w:numPr>
          <w:ilvl w:val="0"/>
          <w:numId w:val="14"/>
        </w:numPr>
        <w:ind w:hanging="331"/>
      </w:pPr>
      <w:r>
        <w:t xml:space="preserve">Duration of harm or discomfort and </w:t>
      </w:r>
    </w:p>
    <w:p w14:paraId="747DC035" w14:textId="77777777" w:rsidR="005E7FB6" w:rsidRDefault="00385524">
      <w:pPr>
        <w:numPr>
          <w:ilvl w:val="0"/>
          <w:numId w:val="14"/>
        </w:numPr>
        <w:ind w:hanging="331"/>
      </w:pPr>
      <w:r>
        <w:t xml:space="preserve">Cumulative effect of procedures on the probability and magnitude of harm. </w:t>
      </w:r>
    </w:p>
    <w:p w14:paraId="1743AC37" w14:textId="77777777" w:rsidR="005E7FB6" w:rsidRDefault="00385524">
      <w:pPr>
        <w:spacing w:after="0" w:line="259" w:lineRule="auto"/>
        <w:ind w:left="1" w:firstLine="0"/>
      </w:pPr>
      <w:r>
        <w:t xml:space="preserve"> </w:t>
      </w:r>
    </w:p>
    <w:p w14:paraId="1A32704E" w14:textId="77777777" w:rsidR="005E7FB6" w:rsidRDefault="00385524">
      <w:pPr>
        <w:pStyle w:val="Heading2"/>
        <w:ind w:left="-4"/>
      </w:pPr>
      <w:r>
        <w:t xml:space="preserve">6. Participant Perspectives </w:t>
      </w:r>
    </w:p>
    <w:p w14:paraId="1C0B2E44" w14:textId="77777777" w:rsidR="005E7FB6" w:rsidRDefault="00385524">
      <w:pPr>
        <w:ind w:left="731"/>
      </w:pPr>
      <w:r>
        <w:t xml:space="preserve">• Whenever possible the data includes information about the subject population’s experience of the procedures (e.g., painful, anxiety producing). </w:t>
      </w:r>
    </w:p>
    <w:p w14:paraId="73FA9694" w14:textId="77777777" w:rsidR="005E7FB6" w:rsidRDefault="00385524">
      <w:pPr>
        <w:spacing w:after="0" w:line="259" w:lineRule="auto"/>
        <w:ind w:left="0" w:firstLine="0"/>
      </w:pPr>
      <w:r>
        <w:t xml:space="preserve"> </w:t>
      </w:r>
    </w:p>
    <w:p w14:paraId="6F6FAE96" w14:textId="77777777" w:rsidR="005E7FB6" w:rsidRDefault="00385524">
      <w:pPr>
        <w:pStyle w:val="Heading2"/>
        <w:ind w:left="-4"/>
      </w:pPr>
      <w:r>
        <w:t xml:space="preserve">7. Mitigating Factors </w:t>
      </w:r>
    </w:p>
    <w:p w14:paraId="2A89B664" w14:textId="77777777" w:rsidR="005E7FB6" w:rsidRDefault="00385524">
      <w:pPr>
        <w:ind w:left="730"/>
      </w:pPr>
      <w:r>
        <w:t xml:space="preserve">• The procedure reflects consideration of documented mitigating factors known to minimize or exacerbate the risk. </w:t>
      </w:r>
    </w:p>
    <w:p w14:paraId="0026E496" w14:textId="77777777" w:rsidR="005E7FB6" w:rsidRDefault="00385524">
      <w:pPr>
        <w:spacing w:after="0" w:line="259" w:lineRule="auto"/>
        <w:ind w:left="0" w:firstLine="0"/>
      </w:pPr>
      <w:r>
        <w:t xml:space="preserve"> </w:t>
      </w:r>
    </w:p>
    <w:p w14:paraId="6F1C0231" w14:textId="77777777" w:rsidR="005E7FB6" w:rsidRDefault="00385524">
      <w:pPr>
        <w:pStyle w:val="Heading2"/>
        <w:ind w:left="-4"/>
      </w:pPr>
      <w:r>
        <w:t xml:space="preserve">8. Inclusion/Exclusion Criteria </w:t>
      </w:r>
    </w:p>
    <w:p w14:paraId="208CF862" w14:textId="77777777" w:rsidR="005E7FB6" w:rsidRDefault="00385524">
      <w:pPr>
        <w:ind w:left="730"/>
      </w:pPr>
      <w:r>
        <w:t xml:space="preserve">• Subject inclusion and exclusion criteria reflect consideration of documented subject characteristics that may moderate the probability and magnitude of harm of the procedure. </w:t>
      </w:r>
    </w:p>
    <w:p w14:paraId="5B217CB9" w14:textId="77777777" w:rsidR="005E7FB6" w:rsidRDefault="00385524">
      <w:pPr>
        <w:spacing w:after="0" w:line="259" w:lineRule="auto"/>
        <w:ind w:left="0" w:firstLine="0"/>
      </w:pPr>
      <w:r>
        <w:t xml:space="preserve"> </w:t>
      </w:r>
    </w:p>
    <w:p w14:paraId="2EBABD18" w14:textId="77777777" w:rsidR="005E7FB6" w:rsidRDefault="00385524">
      <w:pPr>
        <w:spacing w:after="0" w:line="259" w:lineRule="auto"/>
        <w:ind w:left="-4"/>
      </w:pPr>
      <w:r>
        <w:rPr>
          <w:b/>
        </w:rPr>
        <w:t xml:space="preserve">9. Monitoring </w:t>
      </w:r>
    </w:p>
    <w:p w14:paraId="4CF50D2C" w14:textId="77777777" w:rsidR="005E7FB6" w:rsidRDefault="00385524">
      <w:pPr>
        <w:ind w:left="730"/>
      </w:pPr>
      <w:r>
        <w:t xml:space="preserve">• There is an adequate monitoring procedure. </w:t>
      </w:r>
    </w:p>
    <w:p w14:paraId="70072773" w14:textId="77777777" w:rsidR="005E7FB6" w:rsidRDefault="00385524">
      <w:pPr>
        <w:spacing w:after="0" w:line="259" w:lineRule="auto"/>
        <w:ind w:left="720" w:firstLine="0"/>
      </w:pPr>
      <w:r>
        <w:t xml:space="preserve"> </w:t>
      </w:r>
    </w:p>
    <w:p w14:paraId="5D815824" w14:textId="77777777" w:rsidR="005E7FB6" w:rsidRDefault="00385524">
      <w:pPr>
        <w:pStyle w:val="Heading2"/>
        <w:ind w:left="-4"/>
      </w:pPr>
      <w:r>
        <w:t xml:space="preserve">10. Safety &amp; Competence </w:t>
      </w:r>
    </w:p>
    <w:p w14:paraId="461F5689" w14:textId="77777777" w:rsidR="009245A1" w:rsidRDefault="00385524">
      <w:pPr>
        <w:ind w:left="730"/>
      </w:pPr>
      <w:r>
        <w:t xml:space="preserve">• The procedure will be performed in a safe environment by qualified personnel with experience conducting the procedure with the subject population. </w:t>
      </w:r>
    </w:p>
    <w:p w14:paraId="3B47B078" w14:textId="664BFE8E" w:rsidR="00E44FE7" w:rsidRDefault="00E44FE7" w:rsidP="00E44FE7">
      <w:pPr>
        <w:ind w:left="0" w:firstLine="0"/>
      </w:pPr>
      <w:r>
        <w:t xml:space="preserve"> </w:t>
      </w:r>
    </w:p>
    <w:p w14:paraId="4849B83F" w14:textId="77777777" w:rsidR="005E7FB6" w:rsidRDefault="005E7FB6" w:rsidP="00064254">
      <w:pPr>
        <w:ind w:left="0" w:firstLine="0"/>
        <w:jc w:val="center"/>
      </w:pPr>
    </w:p>
    <w:sectPr w:rsidR="005E7FB6" w:rsidSect="001D29D9">
      <w:headerReference w:type="even" r:id="rId15"/>
      <w:headerReference w:type="default" r:id="rId16"/>
      <w:footerReference w:type="even" r:id="rId17"/>
      <w:footerReference w:type="default" r:id="rId18"/>
      <w:headerReference w:type="first" r:id="rId19"/>
      <w:footerReference w:type="first" r:id="rId20"/>
      <w:pgSz w:w="12240" w:h="15840"/>
      <w:pgMar w:top="1413" w:right="1455" w:bottom="1080" w:left="540" w:header="69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4BEE" w14:textId="77777777" w:rsidR="00A45107" w:rsidRDefault="00A45107">
      <w:pPr>
        <w:spacing w:after="0" w:line="240" w:lineRule="auto"/>
      </w:pPr>
      <w:r>
        <w:separator/>
      </w:r>
    </w:p>
  </w:endnote>
  <w:endnote w:type="continuationSeparator" w:id="0">
    <w:p w14:paraId="03C5A8B5" w14:textId="77777777" w:rsidR="00A45107" w:rsidRDefault="00A4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91BE" w14:textId="77777777" w:rsidR="005E7FB6" w:rsidRDefault="00385524">
    <w:pPr>
      <w:spacing w:after="0" w:line="259" w:lineRule="auto"/>
      <w:ind w:firstLine="0"/>
      <w:jc w:val="center"/>
    </w:pP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sidR="00064254">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C9FC" w14:textId="77777777" w:rsidR="005E7FB6" w:rsidRDefault="00385524">
    <w:pPr>
      <w:spacing w:after="0" w:line="259" w:lineRule="auto"/>
      <w:ind w:firstLine="0"/>
      <w:jc w:val="center"/>
    </w:pP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7432B4">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sidR="007432B4">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2347" w14:textId="77777777" w:rsidR="005E7FB6" w:rsidRDefault="00385524">
    <w:pPr>
      <w:spacing w:after="0" w:line="259" w:lineRule="auto"/>
      <w:ind w:firstLine="0"/>
      <w:jc w:val="center"/>
    </w:pP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sidR="00064254">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9362" w14:textId="77777777" w:rsidR="00A45107" w:rsidRDefault="00A45107">
      <w:pPr>
        <w:spacing w:after="0" w:line="240" w:lineRule="auto"/>
      </w:pPr>
      <w:r>
        <w:separator/>
      </w:r>
    </w:p>
  </w:footnote>
  <w:footnote w:type="continuationSeparator" w:id="0">
    <w:p w14:paraId="21F0E126" w14:textId="77777777" w:rsidR="00A45107" w:rsidRDefault="00A4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08FF" w14:textId="77777777" w:rsidR="005E7FB6" w:rsidRDefault="00385524">
    <w:pPr>
      <w:spacing w:after="0" w:line="259" w:lineRule="auto"/>
      <w:ind w:left="16" w:firstLine="0"/>
      <w:jc w:val="center"/>
    </w:pPr>
    <w:r>
      <w:rPr>
        <w:rFonts w:ascii="Times New Roman" w:eastAsia="Times New Roman" w:hAnsi="Times New Roman" w:cs="Times New Roman"/>
        <w:sz w:val="24"/>
      </w:rPr>
      <w:t xml:space="preserve">The University of Mississippi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EA7E" w14:textId="77777777" w:rsidR="005E7FB6" w:rsidRDefault="00385524">
    <w:pPr>
      <w:spacing w:after="0" w:line="259" w:lineRule="auto"/>
      <w:ind w:left="16" w:firstLine="0"/>
      <w:jc w:val="center"/>
    </w:pPr>
    <w:r>
      <w:rPr>
        <w:rFonts w:ascii="Times New Roman" w:eastAsia="Times New Roman" w:hAnsi="Times New Roman" w:cs="Times New Roman"/>
        <w:sz w:val="24"/>
      </w:rPr>
      <w:t xml:space="preserve">The University of Mississippi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AC39" w14:textId="77777777" w:rsidR="005E7FB6" w:rsidRDefault="00385524">
    <w:pPr>
      <w:spacing w:after="0" w:line="259" w:lineRule="auto"/>
      <w:ind w:left="16" w:firstLine="0"/>
      <w:jc w:val="center"/>
    </w:pPr>
    <w:r>
      <w:rPr>
        <w:rFonts w:ascii="Times New Roman" w:eastAsia="Times New Roman" w:hAnsi="Times New Roman" w:cs="Times New Roman"/>
        <w:sz w:val="24"/>
      </w:rPr>
      <w:t xml:space="preserve">The University of Mississippi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F1C"/>
    <w:multiLevelType w:val="hybridMultilevel"/>
    <w:tmpl w:val="C1906820"/>
    <w:lvl w:ilvl="0" w:tplc="17509F04">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70E72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1076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4E091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E2346">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DA20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583B4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7617CE">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70DFCA">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3F64"/>
    <w:multiLevelType w:val="hybridMultilevel"/>
    <w:tmpl w:val="644E5DBC"/>
    <w:lvl w:ilvl="0" w:tplc="537C2EB2">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E49CC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627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0E83E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4762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48D8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A6C82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CAB9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904DE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711B60"/>
    <w:multiLevelType w:val="hybridMultilevel"/>
    <w:tmpl w:val="EDDEFC60"/>
    <w:lvl w:ilvl="0" w:tplc="AD923DB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815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88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A0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EF2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AA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6AAE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A3A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3EB8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C01DE5"/>
    <w:multiLevelType w:val="hybridMultilevel"/>
    <w:tmpl w:val="2C1C9A78"/>
    <w:lvl w:ilvl="0" w:tplc="861EB31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2487E">
      <w:start w:val="1"/>
      <w:numFmt w:val="decimal"/>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04F7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964E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409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08A0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EEF44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6FA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E4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D30F8B"/>
    <w:multiLevelType w:val="hybridMultilevel"/>
    <w:tmpl w:val="17989F36"/>
    <w:lvl w:ilvl="0" w:tplc="4AD6501E">
      <w:start w:val="1"/>
      <w:numFmt w:val="decimal"/>
      <w:lvlText w:val="%1."/>
      <w:lvlJc w:val="left"/>
      <w:pPr>
        <w:ind w:left="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4AE0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7E11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2E61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A65C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4CEF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5AF9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C42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6A0F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614C2C"/>
    <w:multiLevelType w:val="hybridMultilevel"/>
    <w:tmpl w:val="122800DC"/>
    <w:lvl w:ilvl="0" w:tplc="3C1C7064">
      <w:start w:val="1"/>
      <w:numFmt w:val="bullet"/>
      <w:lvlText w:val="•"/>
      <w:lvlJc w:val="left"/>
      <w:pPr>
        <w:ind w:left="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4C376">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AEF4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2B08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ACA22">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98EC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586A2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2DC5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CA2E6">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025690"/>
    <w:multiLevelType w:val="hybridMultilevel"/>
    <w:tmpl w:val="3612A022"/>
    <w:lvl w:ilvl="0" w:tplc="A4501BD2">
      <w:start w:val="1"/>
      <w:numFmt w:val="lowerLetter"/>
      <w:lvlText w:val="%1."/>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A88C4C">
      <w:start w:val="1"/>
      <w:numFmt w:val="lowerLetter"/>
      <w:lvlText w:val="%2"/>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AC75CC">
      <w:start w:val="1"/>
      <w:numFmt w:val="lowerRoman"/>
      <w:lvlText w:val="%3"/>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A3F84">
      <w:start w:val="1"/>
      <w:numFmt w:val="decimal"/>
      <w:lvlText w:val="%4"/>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6A116">
      <w:start w:val="1"/>
      <w:numFmt w:val="lowerLetter"/>
      <w:lvlText w:val="%5"/>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DA01EC">
      <w:start w:val="1"/>
      <w:numFmt w:val="lowerRoman"/>
      <w:lvlText w:val="%6"/>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467CDA">
      <w:start w:val="1"/>
      <w:numFmt w:val="decimal"/>
      <w:lvlText w:val="%7"/>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1AFD8E">
      <w:start w:val="1"/>
      <w:numFmt w:val="lowerLetter"/>
      <w:lvlText w:val="%8"/>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AFA58">
      <w:start w:val="1"/>
      <w:numFmt w:val="lowerRoman"/>
      <w:lvlText w:val="%9"/>
      <w:lvlJc w:val="left"/>
      <w:pPr>
        <w:ind w:left="7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DC68B9"/>
    <w:multiLevelType w:val="hybridMultilevel"/>
    <w:tmpl w:val="835A8A6C"/>
    <w:lvl w:ilvl="0" w:tplc="B55AE85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8A96F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7AD0D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A658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181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3A866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207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2C20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78899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03749A"/>
    <w:multiLevelType w:val="hybridMultilevel"/>
    <w:tmpl w:val="04D84AB2"/>
    <w:lvl w:ilvl="0" w:tplc="0D04951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844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F863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DA24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870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626C4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5876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6FA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56C35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047CAE"/>
    <w:multiLevelType w:val="hybridMultilevel"/>
    <w:tmpl w:val="CCAA1A44"/>
    <w:lvl w:ilvl="0" w:tplc="F90854D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EE6E3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80BB8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D222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E4B0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AD1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C89D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86B31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A6D31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484701"/>
    <w:multiLevelType w:val="hybridMultilevel"/>
    <w:tmpl w:val="881405A6"/>
    <w:lvl w:ilvl="0" w:tplc="01C656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AED4A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6CAA8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6D7B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877E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490F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2E0C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D0F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1C9A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1525A2"/>
    <w:multiLevelType w:val="hybridMultilevel"/>
    <w:tmpl w:val="C4580060"/>
    <w:lvl w:ilvl="0" w:tplc="DDB0418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C91A0">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1A9C1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0503E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CE06BC">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63C0C22">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EBCDE3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5EADC1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9C6526">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2E7CC8"/>
    <w:multiLevelType w:val="hybridMultilevel"/>
    <w:tmpl w:val="CBE2361C"/>
    <w:lvl w:ilvl="0" w:tplc="2C0C3146">
      <w:start w:val="1"/>
      <w:numFmt w:val="bullet"/>
      <w:lvlText w:val="•"/>
      <w:lvlJc w:val="left"/>
      <w:pPr>
        <w:ind w:left="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4D002">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162B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7C170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9A3E3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0ECF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301DD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148A3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EEAEA8">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957598"/>
    <w:multiLevelType w:val="hybridMultilevel"/>
    <w:tmpl w:val="38DA6124"/>
    <w:lvl w:ilvl="0" w:tplc="FAF4F8F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66B5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5CB36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DEE4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2CD6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646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DC64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E547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36C9C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6C64A19"/>
    <w:multiLevelType w:val="hybridMultilevel"/>
    <w:tmpl w:val="B6AA4E7A"/>
    <w:lvl w:ilvl="0" w:tplc="301647A0">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FC4DE2">
      <w:start w:val="1"/>
      <w:numFmt w:val="bullet"/>
      <w:lvlText w:val="o"/>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BC0EA8">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7C15BA">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BAB564">
      <w:start w:val="1"/>
      <w:numFmt w:val="bullet"/>
      <w:lvlText w:val="o"/>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B6809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4CECAC">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9EC370">
      <w:start w:val="1"/>
      <w:numFmt w:val="bullet"/>
      <w:lvlText w:val="o"/>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004514">
      <w:start w:val="1"/>
      <w:numFmt w:val="bullet"/>
      <w:lvlText w:val="▪"/>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6DD4F76"/>
    <w:multiLevelType w:val="hybridMultilevel"/>
    <w:tmpl w:val="4080D836"/>
    <w:lvl w:ilvl="0" w:tplc="1820F01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6DA14">
      <w:start w:val="1"/>
      <w:numFmt w:val="bullet"/>
      <w:lvlText w:val="o"/>
      <w:lvlJc w:val="left"/>
      <w:pPr>
        <w:ind w:left="10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EC01CE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F7CCDA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427C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0BCF25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0C21B9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694AF3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D7649B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1"/>
  </w:num>
  <w:num w:numId="4">
    <w:abstractNumId w:val="10"/>
  </w:num>
  <w:num w:numId="5">
    <w:abstractNumId w:val="9"/>
  </w:num>
  <w:num w:numId="6">
    <w:abstractNumId w:val="13"/>
  </w:num>
  <w:num w:numId="7">
    <w:abstractNumId w:val="7"/>
  </w:num>
  <w:num w:numId="8">
    <w:abstractNumId w:val="4"/>
  </w:num>
  <w:num w:numId="9">
    <w:abstractNumId w:val="5"/>
  </w:num>
  <w:num w:numId="10">
    <w:abstractNumId w:val="0"/>
  </w:num>
  <w:num w:numId="11">
    <w:abstractNumId w:val="1"/>
  </w:num>
  <w:num w:numId="12">
    <w:abstractNumId w:val="12"/>
  </w:num>
  <w:num w:numId="13">
    <w:abstractNumId w:val="14"/>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B6"/>
    <w:rsid w:val="00064254"/>
    <w:rsid w:val="001D29D9"/>
    <w:rsid w:val="0021212A"/>
    <w:rsid w:val="002F4BCB"/>
    <w:rsid w:val="00385524"/>
    <w:rsid w:val="005E7FB6"/>
    <w:rsid w:val="007432B4"/>
    <w:rsid w:val="009245A1"/>
    <w:rsid w:val="009D1B35"/>
    <w:rsid w:val="00A45107"/>
    <w:rsid w:val="00D638DF"/>
    <w:rsid w:val="00D709F5"/>
    <w:rsid w:val="00E4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55F8"/>
  <w15:docId w15:val="{39E8CF5C-70C7-4509-9B53-2D258A5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1" w:hanging="10"/>
    </w:pPr>
    <w:rPr>
      <w:rFonts w:ascii="Arial" w:eastAsia="Arial" w:hAnsi="Arial" w:cs="Arial"/>
      <w:color w:val="000000"/>
      <w:szCs w:val="22"/>
    </w:rPr>
  </w:style>
  <w:style w:type="paragraph" w:styleId="Heading1">
    <w:name w:val="heading 1"/>
    <w:next w:val="Normal"/>
    <w:link w:val="Heading1Char"/>
    <w:uiPriority w:val="9"/>
    <w:unhideWhenUsed/>
    <w:qFormat/>
    <w:pPr>
      <w:keepNext/>
      <w:keepLines/>
      <w:spacing w:line="259" w:lineRule="auto"/>
      <w:ind w:left="11" w:hanging="10"/>
      <w:outlineLvl w:val="0"/>
    </w:pPr>
    <w:rPr>
      <w:rFonts w:ascii="Arial" w:eastAsia="Arial" w:hAnsi="Arial" w:cs="Arial"/>
      <w:b/>
      <w:color w:val="000000"/>
      <w:sz w:val="22"/>
      <w:szCs w:val="22"/>
    </w:rPr>
  </w:style>
  <w:style w:type="paragraph" w:styleId="Heading2">
    <w:name w:val="heading 2"/>
    <w:next w:val="Normal"/>
    <w:link w:val="Heading2Char"/>
    <w:uiPriority w:val="9"/>
    <w:unhideWhenUsed/>
    <w:qFormat/>
    <w:pPr>
      <w:keepNext/>
      <w:keepLines/>
      <w:spacing w:line="259" w:lineRule="auto"/>
      <w:ind w:left="21" w:hanging="10"/>
      <w:outlineLvl w:val="1"/>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sid w:val="00064254"/>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642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425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hs.gov/ohrp/archive/sachrp/mtgings/mtg01-05/present/fisher_files/frame.htm" TargetMode="External"/><Relationship Id="rId13" Type="http://schemas.openxmlformats.org/officeDocument/2006/relationships/hyperlink" Target="http://www.hhs.gov/ohrp/archive/sachrp/mtgings/mtg01-05/present/fisher_files/frame.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hs.gov/ohrp/archive/sachrp/mtgings/mtg01-05/present/fisher_files/frame.htm" TargetMode="External"/><Relationship Id="rId12" Type="http://schemas.openxmlformats.org/officeDocument/2006/relationships/hyperlink" Target="http://www.hhs.gov/ohrp/archive/sachrp/mtgings/mtg01-05/present/fisher_files/fram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archive/sachrp/mtgings/mtg01-05/present/fisher_files/frame.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hs.gov/ohrp/archive/sachrp/mtgings/mtg01-05/present/fisher_files/frame.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hs.gov/ohrp/archive/sachrp/mtgings/mtg01-05/present/fisher_files/frame.htm" TargetMode="External"/><Relationship Id="rId14" Type="http://schemas.openxmlformats.org/officeDocument/2006/relationships/hyperlink" Target="http://www.hhs.gov/ohrp/archive/sachrp/mtgings/mtg01-05/present/fisher_files/fra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&lt;Insert name of policy&gt;</vt:lpstr>
    </vt:vector>
  </TitlesOfParts>
  <Company>Microsoft</Company>
  <LinksUpToDate>false</LinksUpToDate>
  <CharactersWithSpaces>7219</CharactersWithSpaces>
  <SharedDoc>false</SharedDoc>
  <HLinks>
    <vt:vector size="60" baseType="variant">
      <vt:variant>
        <vt:i4>3604553</vt:i4>
      </vt:variant>
      <vt:variant>
        <vt:i4>33</vt:i4>
      </vt:variant>
      <vt:variant>
        <vt:i4>0</vt:i4>
      </vt:variant>
      <vt:variant>
        <vt:i4>5</vt:i4>
      </vt:variant>
      <vt:variant>
        <vt:lpwstr>http://www.hhs.gov/ohrp/archive/sachrp/mtgings/mtg01-05/present/fisher_files/frame.htm</vt:lpwstr>
      </vt:variant>
      <vt:variant>
        <vt:lpwstr/>
      </vt:variant>
      <vt:variant>
        <vt:i4>3604553</vt:i4>
      </vt:variant>
      <vt:variant>
        <vt:i4>30</vt:i4>
      </vt:variant>
      <vt:variant>
        <vt:i4>0</vt:i4>
      </vt:variant>
      <vt:variant>
        <vt:i4>5</vt:i4>
      </vt:variant>
      <vt:variant>
        <vt:lpwstr>http://www.hhs.gov/ohrp/archive/sachrp/mtgings/mtg01-05/present/fisher_files/frame.htm</vt:lpwstr>
      </vt:variant>
      <vt:variant>
        <vt:lpwstr/>
      </vt:variant>
      <vt:variant>
        <vt:i4>3604553</vt:i4>
      </vt:variant>
      <vt:variant>
        <vt:i4>27</vt:i4>
      </vt:variant>
      <vt:variant>
        <vt:i4>0</vt:i4>
      </vt:variant>
      <vt:variant>
        <vt:i4>5</vt:i4>
      </vt:variant>
      <vt:variant>
        <vt:lpwstr>http://www.hhs.gov/ohrp/archive/sachrp/mtgings/mtg01-05/present/fisher_files/frame.htm</vt:lpwstr>
      </vt:variant>
      <vt:variant>
        <vt:lpwstr/>
      </vt:variant>
      <vt:variant>
        <vt:i4>3604553</vt:i4>
      </vt:variant>
      <vt:variant>
        <vt:i4>24</vt:i4>
      </vt:variant>
      <vt:variant>
        <vt:i4>0</vt:i4>
      </vt:variant>
      <vt:variant>
        <vt:i4>5</vt:i4>
      </vt:variant>
      <vt:variant>
        <vt:lpwstr>http://www.hhs.gov/ohrp/archive/sachrp/mtgings/mtg01-05/present/fisher_files/frame.htm</vt:lpwstr>
      </vt:variant>
      <vt:variant>
        <vt:lpwstr/>
      </vt:variant>
      <vt:variant>
        <vt:i4>3604553</vt:i4>
      </vt:variant>
      <vt:variant>
        <vt:i4>21</vt:i4>
      </vt:variant>
      <vt:variant>
        <vt:i4>0</vt:i4>
      </vt:variant>
      <vt:variant>
        <vt:i4>5</vt:i4>
      </vt:variant>
      <vt:variant>
        <vt:lpwstr>http://www.hhs.gov/ohrp/archive/sachrp/mtgings/mtg01-05/present/fisher_files/frame.htm</vt:lpwstr>
      </vt:variant>
      <vt:variant>
        <vt:lpwstr/>
      </vt:variant>
      <vt:variant>
        <vt:i4>3604553</vt:i4>
      </vt:variant>
      <vt:variant>
        <vt:i4>18</vt:i4>
      </vt:variant>
      <vt:variant>
        <vt:i4>0</vt:i4>
      </vt:variant>
      <vt:variant>
        <vt:i4>5</vt:i4>
      </vt:variant>
      <vt:variant>
        <vt:lpwstr>http://www.hhs.gov/ohrp/archive/sachrp/mtgings/mtg01-05/present/fisher_files/frame.htm</vt:lpwstr>
      </vt:variant>
      <vt:variant>
        <vt:lpwstr/>
      </vt:variant>
      <vt:variant>
        <vt:i4>3604553</vt:i4>
      </vt:variant>
      <vt:variant>
        <vt:i4>15</vt:i4>
      </vt:variant>
      <vt:variant>
        <vt:i4>0</vt:i4>
      </vt:variant>
      <vt:variant>
        <vt:i4>5</vt:i4>
      </vt:variant>
      <vt:variant>
        <vt:lpwstr>http://www.hhs.gov/ohrp/archive/sachrp/mtgings/mtg01-05/present/fisher_files/frame.htm</vt:lpwstr>
      </vt:variant>
      <vt:variant>
        <vt:lpwstr/>
      </vt:variant>
      <vt:variant>
        <vt:i4>3604553</vt:i4>
      </vt:variant>
      <vt:variant>
        <vt:i4>12</vt:i4>
      </vt:variant>
      <vt:variant>
        <vt:i4>0</vt:i4>
      </vt:variant>
      <vt:variant>
        <vt:i4>5</vt:i4>
      </vt:variant>
      <vt:variant>
        <vt:lpwstr>http://www.hhs.gov/ohrp/archive/sachrp/mtgings/mtg01-05/present/fisher_files/frame.htm</vt:lpwstr>
      </vt:variant>
      <vt:variant>
        <vt:lpwstr/>
      </vt:variant>
      <vt:variant>
        <vt:i4>524291</vt:i4>
      </vt:variant>
      <vt:variant>
        <vt:i4>3</vt:i4>
      </vt:variant>
      <vt:variant>
        <vt:i4>0</vt:i4>
      </vt:variant>
      <vt:variant>
        <vt:i4>5</vt:i4>
      </vt:variant>
      <vt:variant>
        <vt:lpwstr>http://www.hhs.gov/ohrp/policy/63fr60364.html</vt:lpwstr>
      </vt:variant>
      <vt:variant>
        <vt:lpwstr/>
      </vt:variant>
      <vt:variant>
        <vt:i4>524291</vt:i4>
      </vt:variant>
      <vt:variant>
        <vt:i4>0</vt:i4>
      </vt:variant>
      <vt:variant>
        <vt:i4>0</vt:i4>
      </vt:variant>
      <vt:variant>
        <vt:i4>5</vt:i4>
      </vt:variant>
      <vt:variant>
        <vt:lpwstr>http://www.hhs.gov/ohrp/policy/63fr60364.html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name of policy&gt;</dc:title>
  <dc:subject/>
  <dc:creator>Roland Clark</dc:creator>
  <cp:keywords/>
  <cp:lastModifiedBy>Miranda Core</cp:lastModifiedBy>
  <cp:revision>2</cp:revision>
  <cp:lastPrinted>2018-11-01T19:16:00Z</cp:lastPrinted>
  <dcterms:created xsi:type="dcterms:W3CDTF">2021-05-24T15:27:00Z</dcterms:created>
  <dcterms:modified xsi:type="dcterms:W3CDTF">2021-05-24T15:27:00Z</dcterms:modified>
</cp:coreProperties>
</file>